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EC5359">
      <w:pPr>
        <w:spacing w:line="480" w:lineRule="auto"/>
        <w:jc w:val="center"/>
        <w:rPr>
          <w:rFonts w:hint="eastAsia" w:ascii="宋体" w:hAnsi="宋体" w:cs="宋体" w:eastAsiaTheme="minorEastAsia"/>
          <w:b/>
          <w:color w:val="000000"/>
          <w:kern w:val="0"/>
          <w:sz w:val="48"/>
          <w:szCs w:val="48"/>
          <w:lang w:bidi="ar"/>
        </w:rPr>
      </w:pPr>
      <w:bookmarkStart w:id="69" w:name="_GoBack"/>
      <w:bookmarkEnd w:id="69"/>
      <w:r>
        <w:rPr>
          <w:rFonts w:hint="eastAsia" w:ascii="宋体" w:hAnsi="宋体" w:cs="宋体" w:eastAsiaTheme="minorEastAsia"/>
          <w:b/>
          <w:color w:val="000000"/>
          <w:kern w:val="0"/>
          <w:sz w:val="48"/>
          <w:szCs w:val="48"/>
          <w:lang w:bidi="ar"/>
        </w:rPr>
        <w:t>武胜县龙女湖保障性安居住房建设项目</w:t>
      </w:r>
    </w:p>
    <w:p w14:paraId="08465F00">
      <w:pPr>
        <w:spacing w:line="560" w:lineRule="exact"/>
        <w:jc w:val="center"/>
        <w:rPr>
          <w:rFonts w:hint="eastAsia" w:ascii="宋体" w:hAnsi="宋体" w:cs="宋体"/>
          <w:b/>
          <w:color w:val="000000"/>
          <w:kern w:val="0"/>
          <w:sz w:val="48"/>
          <w:szCs w:val="48"/>
          <w:lang w:bidi="ar"/>
        </w:rPr>
      </w:pPr>
    </w:p>
    <w:p w14:paraId="0EB7392D">
      <w:pPr>
        <w:pStyle w:val="2"/>
        <w:rPr>
          <w:rFonts w:hint="eastAsia"/>
          <w:b/>
          <w:color w:val="000000"/>
          <w:kern w:val="0"/>
          <w:sz w:val="48"/>
          <w:szCs w:val="48"/>
          <w:lang w:val="en-US" w:bidi="ar"/>
        </w:rPr>
      </w:pPr>
    </w:p>
    <w:p w14:paraId="26193357">
      <w:pPr>
        <w:pStyle w:val="3"/>
        <w:jc w:val="center"/>
      </w:pPr>
      <w:r>
        <w:rPr>
          <w:rFonts w:hint="eastAsia" w:ascii="宋体" w:hAnsi="宋体" w:cs="宋体"/>
          <w:b/>
          <w:color w:val="000000"/>
          <w:kern w:val="0"/>
          <w:sz w:val="48"/>
          <w:szCs w:val="48"/>
          <w:lang w:bidi="ar"/>
        </w:rPr>
        <w:t>（信息披露）</w:t>
      </w:r>
    </w:p>
    <w:p w14:paraId="2FD348BA">
      <w:pPr>
        <w:spacing w:line="560" w:lineRule="exact"/>
        <w:jc w:val="center"/>
        <w:rPr>
          <w:rFonts w:hint="eastAsia" w:ascii="宋体" w:hAnsi="宋体" w:cs="宋体"/>
          <w:b/>
          <w:color w:val="000000"/>
          <w:kern w:val="0"/>
          <w:sz w:val="48"/>
          <w:szCs w:val="48"/>
          <w:lang w:bidi="ar"/>
        </w:rPr>
      </w:pPr>
    </w:p>
    <w:p w14:paraId="5799E348">
      <w:pPr>
        <w:spacing w:line="560" w:lineRule="exact"/>
        <w:jc w:val="center"/>
        <w:rPr>
          <w:rFonts w:hint="eastAsia" w:ascii="宋体" w:hAnsi="宋体" w:cs="宋体"/>
          <w:b/>
          <w:color w:val="000000"/>
          <w:kern w:val="0"/>
          <w:sz w:val="48"/>
          <w:szCs w:val="48"/>
          <w:lang w:bidi="ar"/>
        </w:rPr>
      </w:pPr>
    </w:p>
    <w:p w14:paraId="45B12795">
      <w:pPr>
        <w:spacing w:line="560" w:lineRule="exact"/>
        <w:jc w:val="center"/>
        <w:rPr>
          <w:rFonts w:hint="eastAsia" w:ascii="宋体" w:hAnsi="宋体" w:cs="宋体"/>
          <w:b/>
          <w:color w:val="000000"/>
          <w:kern w:val="0"/>
          <w:sz w:val="48"/>
          <w:szCs w:val="48"/>
          <w:lang w:bidi="ar"/>
        </w:rPr>
      </w:pPr>
    </w:p>
    <w:p w14:paraId="38486495">
      <w:pPr>
        <w:spacing w:line="560" w:lineRule="exact"/>
        <w:jc w:val="center"/>
        <w:rPr>
          <w:rFonts w:hint="eastAsia" w:ascii="宋体" w:hAnsi="宋体" w:cs="宋体"/>
          <w:b/>
          <w:color w:val="000000"/>
          <w:kern w:val="0"/>
          <w:sz w:val="48"/>
          <w:szCs w:val="48"/>
          <w:lang w:bidi="ar"/>
        </w:rPr>
      </w:pPr>
    </w:p>
    <w:p w14:paraId="4C477FB8">
      <w:pPr>
        <w:pStyle w:val="2"/>
        <w:rPr>
          <w:rFonts w:hint="eastAsia"/>
          <w:b/>
          <w:color w:val="000000"/>
          <w:kern w:val="0"/>
          <w:sz w:val="48"/>
          <w:szCs w:val="48"/>
          <w:lang w:val="en-US" w:bidi="ar"/>
        </w:rPr>
      </w:pPr>
    </w:p>
    <w:p w14:paraId="6DFB9CA5">
      <w:pPr>
        <w:pStyle w:val="3"/>
        <w:rPr>
          <w:rFonts w:hint="eastAsia" w:ascii="宋体" w:hAnsi="宋体" w:cs="宋体"/>
          <w:b/>
          <w:color w:val="000000"/>
          <w:kern w:val="0"/>
          <w:sz w:val="48"/>
          <w:szCs w:val="48"/>
          <w:lang w:bidi="ar"/>
        </w:rPr>
      </w:pPr>
    </w:p>
    <w:p w14:paraId="68B547DF">
      <w:pPr>
        <w:pStyle w:val="3"/>
        <w:rPr>
          <w:rFonts w:hint="eastAsia" w:ascii="宋体" w:hAnsi="宋体" w:cs="宋体"/>
          <w:b/>
          <w:color w:val="000000"/>
          <w:kern w:val="0"/>
          <w:sz w:val="48"/>
          <w:szCs w:val="48"/>
          <w:lang w:bidi="ar"/>
        </w:rPr>
      </w:pPr>
    </w:p>
    <w:p w14:paraId="0D931F70">
      <w:pPr>
        <w:pStyle w:val="3"/>
        <w:rPr>
          <w:rFonts w:hint="eastAsia" w:ascii="宋体" w:hAnsi="宋体" w:cs="宋体"/>
          <w:b/>
          <w:color w:val="000000"/>
          <w:kern w:val="0"/>
          <w:sz w:val="48"/>
          <w:szCs w:val="48"/>
          <w:lang w:bidi="ar"/>
        </w:rPr>
      </w:pPr>
    </w:p>
    <w:p w14:paraId="6029D4F7">
      <w:pPr>
        <w:pStyle w:val="3"/>
        <w:rPr>
          <w:rFonts w:hint="eastAsia" w:ascii="宋体" w:hAnsi="宋体" w:cs="宋体"/>
          <w:b/>
          <w:color w:val="000000"/>
          <w:kern w:val="0"/>
          <w:sz w:val="48"/>
          <w:szCs w:val="48"/>
          <w:lang w:bidi="ar"/>
        </w:rPr>
      </w:pPr>
    </w:p>
    <w:p w14:paraId="3FDBFA4C">
      <w:pPr>
        <w:pStyle w:val="3"/>
        <w:rPr>
          <w:rFonts w:hint="eastAsia" w:ascii="宋体" w:hAnsi="宋体" w:cs="宋体"/>
          <w:b/>
          <w:color w:val="000000"/>
          <w:kern w:val="0"/>
          <w:sz w:val="48"/>
          <w:szCs w:val="48"/>
          <w:lang w:bidi="ar"/>
        </w:rPr>
      </w:pPr>
    </w:p>
    <w:p w14:paraId="751E0508">
      <w:pPr>
        <w:pStyle w:val="11"/>
        <w:rPr>
          <w:rFonts w:ascii="Arial Narrow" w:hAnsi="Arial Narrow" w:eastAsia="仿宋"/>
          <w:sz w:val="32"/>
          <w:szCs w:val="40"/>
        </w:rPr>
      </w:pPr>
      <w:r>
        <w:rPr>
          <w:rFonts w:hint="eastAsia" w:ascii="Arial Narrow" w:hAnsi="Arial Narrow" w:eastAsia="仿宋"/>
          <w:sz w:val="32"/>
          <w:szCs w:val="40"/>
        </w:rPr>
        <w:t>实施单位：</w:t>
      </w:r>
      <w:bookmarkStart w:id="0" w:name="OLE_LINK7"/>
      <w:r>
        <w:rPr>
          <w:rFonts w:hint="eastAsia" w:ascii="Arial Narrow" w:hAnsi="Arial Narrow" w:eastAsia="仿宋"/>
          <w:sz w:val="32"/>
          <w:szCs w:val="40"/>
        </w:rPr>
        <w:t>武胜县住房和城乡建设局</w:t>
      </w:r>
      <w:bookmarkEnd w:id="0"/>
    </w:p>
    <w:p w14:paraId="1BB3F26E">
      <w:pPr>
        <w:pStyle w:val="11"/>
        <w:rPr>
          <w:rFonts w:ascii="Arial Narrow" w:hAnsi="Arial Narrow" w:eastAsia="仿宋"/>
          <w:sz w:val="32"/>
          <w:szCs w:val="40"/>
        </w:rPr>
      </w:pPr>
      <w:r>
        <w:rPr>
          <w:rFonts w:hint="eastAsia" w:ascii="Arial Narrow" w:hAnsi="Arial Narrow" w:eastAsia="仿宋"/>
          <w:sz w:val="32"/>
          <w:szCs w:val="40"/>
        </w:rPr>
        <w:t>主管部门：</w:t>
      </w:r>
      <w:bookmarkStart w:id="1" w:name="OLE_LINK12"/>
      <w:r>
        <w:rPr>
          <w:rFonts w:hint="eastAsia" w:ascii="Arial Narrow" w:hAnsi="Arial Narrow" w:eastAsia="仿宋"/>
          <w:sz w:val="32"/>
          <w:szCs w:val="40"/>
        </w:rPr>
        <w:t>武胜县住房和城乡建设局</w:t>
      </w:r>
      <w:bookmarkEnd w:id="1"/>
    </w:p>
    <w:p w14:paraId="61681670">
      <w:pPr>
        <w:pStyle w:val="11"/>
        <w:rPr>
          <w:rFonts w:ascii="Arial Narrow" w:hAnsi="Arial Narrow" w:eastAsia="仿宋"/>
          <w:sz w:val="32"/>
          <w:szCs w:val="40"/>
        </w:rPr>
      </w:pPr>
      <w:r>
        <w:rPr>
          <w:rFonts w:hint="eastAsia" w:ascii="Arial Narrow" w:hAnsi="Arial Narrow" w:eastAsia="仿宋"/>
          <w:sz w:val="32"/>
          <w:szCs w:val="40"/>
        </w:rPr>
        <w:t>财政部门：武胜县财政局</w:t>
      </w:r>
    </w:p>
    <w:p w14:paraId="7131B488">
      <w:pPr>
        <w:pStyle w:val="3"/>
        <w:jc w:val="center"/>
        <w:rPr>
          <w:rFonts w:hint="eastAsia" w:ascii="宋体" w:hAnsi="宋体" w:cs="宋体"/>
          <w:b/>
          <w:color w:val="000000"/>
          <w:kern w:val="0"/>
          <w:sz w:val="48"/>
          <w:szCs w:val="48"/>
          <w:lang w:bidi="ar"/>
        </w:rPr>
      </w:pPr>
    </w:p>
    <w:p w14:paraId="1AE7AA30">
      <w:pPr>
        <w:spacing w:line="560" w:lineRule="exact"/>
        <w:jc w:val="center"/>
        <w:rPr>
          <w:rFonts w:hint="eastAsia" w:ascii="宋体" w:hAnsi="宋体" w:cs="宋体"/>
          <w:b/>
          <w:color w:val="000000"/>
          <w:kern w:val="0"/>
          <w:sz w:val="48"/>
          <w:szCs w:val="48"/>
          <w:lang w:bidi="ar"/>
        </w:rPr>
      </w:pPr>
    </w:p>
    <w:p w14:paraId="4478B2C1">
      <w:pPr>
        <w:spacing w:line="560" w:lineRule="exact"/>
        <w:jc w:val="center"/>
        <w:rPr>
          <w:rFonts w:hint="eastAsia" w:ascii="宋体" w:hAnsi="宋体" w:cs="宋体"/>
          <w:b/>
          <w:color w:val="000000"/>
          <w:kern w:val="0"/>
          <w:sz w:val="48"/>
          <w:szCs w:val="48"/>
          <w:lang w:bidi="ar"/>
        </w:rPr>
      </w:pPr>
    </w:p>
    <w:p w14:paraId="656E5C3F">
      <w:pPr>
        <w:spacing w:line="560" w:lineRule="exact"/>
        <w:rPr>
          <w:rFonts w:hint="eastAsia" w:ascii="宋体" w:hAnsi="宋体" w:cs="宋体"/>
          <w:b/>
          <w:color w:val="000000"/>
          <w:kern w:val="0"/>
          <w:sz w:val="48"/>
          <w:szCs w:val="48"/>
          <w:lang w:bidi="ar"/>
        </w:rPr>
      </w:pPr>
    </w:p>
    <w:p w14:paraId="55D5B753">
      <w:pPr>
        <w:spacing w:line="560" w:lineRule="exact"/>
        <w:jc w:val="center"/>
        <w:rPr>
          <w:rFonts w:hint="eastAsia" w:ascii="宋体" w:hAnsi="宋体" w:cs="宋体"/>
          <w:b/>
          <w:color w:val="000000"/>
          <w:kern w:val="0"/>
          <w:sz w:val="48"/>
          <w:szCs w:val="48"/>
          <w:lang w:bidi="ar"/>
        </w:rPr>
      </w:pPr>
      <w:r>
        <w:rPr>
          <w:rFonts w:hint="eastAsia" w:ascii="宋体" w:hAnsi="宋体" w:cs="宋体"/>
          <w:b/>
          <w:color w:val="000000"/>
          <w:kern w:val="0"/>
          <w:sz w:val="48"/>
          <w:szCs w:val="48"/>
          <w:lang w:bidi="ar"/>
        </w:rPr>
        <w:t>武胜县龙女湖保障性安居住房建设项目情况</w:t>
      </w:r>
    </w:p>
    <w:p w14:paraId="02E6CE36">
      <w:pPr>
        <w:spacing w:line="560" w:lineRule="exact"/>
        <w:ind w:firstLine="640" w:firstLineChars="200"/>
        <w:rPr>
          <w:rFonts w:ascii="仿宋_GB2312" w:eastAsia="仿宋_GB2312"/>
          <w:sz w:val="32"/>
          <w:szCs w:val="32"/>
        </w:rPr>
      </w:pPr>
    </w:p>
    <w:p w14:paraId="6B81A609">
      <w:pPr>
        <w:spacing w:line="560" w:lineRule="exact"/>
        <w:ind w:firstLine="643" w:firstLineChars="200"/>
        <w:rPr>
          <w:rFonts w:hint="eastAsia" w:ascii="宋体" w:hAnsi="宋体" w:cs="宋体"/>
          <w:b/>
          <w:bCs/>
          <w:sz w:val="32"/>
          <w:szCs w:val="32"/>
        </w:rPr>
      </w:pPr>
      <w:r>
        <w:rPr>
          <w:rFonts w:hint="eastAsia" w:ascii="宋体" w:hAnsi="宋体" w:cs="宋体"/>
          <w:b/>
          <w:bCs/>
          <w:sz w:val="32"/>
          <w:szCs w:val="32"/>
        </w:rPr>
        <w:t>一、项目基本情况</w:t>
      </w:r>
    </w:p>
    <w:p w14:paraId="67CB9EDB">
      <w:pPr>
        <w:spacing w:line="560" w:lineRule="exact"/>
        <w:ind w:firstLine="643" w:firstLineChars="200"/>
        <w:rPr>
          <w:rFonts w:hint="eastAsia" w:ascii="宋体" w:hAnsi="宋体" w:cs="宋体"/>
          <w:b/>
          <w:sz w:val="32"/>
          <w:szCs w:val="32"/>
        </w:rPr>
      </w:pPr>
      <w:r>
        <w:rPr>
          <w:rFonts w:hint="eastAsia" w:ascii="宋体" w:hAnsi="宋体" w:cs="宋体"/>
          <w:b/>
          <w:sz w:val="32"/>
          <w:szCs w:val="32"/>
        </w:rPr>
        <w:t>（一）武胜县及行业专项规划概况</w:t>
      </w:r>
    </w:p>
    <w:p w14:paraId="099A2495">
      <w:pPr>
        <w:pStyle w:val="6"/>
        <w:numPr>
          <w:ilvl w:val="2"/>
          <w:numId w:val="0"/>
        </w:numPr>
        <w:spacing w:line="416" w:lineRule="auto"/>
        <w:ind w:firstLine="602" w:firstLineChars="200"/>
        <w:rPr>
          <w:rFonts w:hint="eastAsia" w:ascii="宋体" w:hAnsi="宋体" w:cs="宋体"/>
          <w:color w:val="000000" w:themeColor="text1"/>
          <w:sz w:val="30"/>
          <w:szCs w:val="30"/>
          <w14:textFill>
            <w14:solidFill>
              <w14:schemeClr w14:val="tx1"/>
            </w14:solidFill>
          </w14:textFill>
        </w:rPr>
      </w:pPr>
      <w:r>
        <w:rPr>
          <w:rFonts w:hint="eastAsia" w:ascii="宋体" w:hAnsi="宋体" w:cs="宋体"/>
          <w:color w:val="000000" w:themeColor="text1"/>
          <w:sz w:val="30"/>
          <w:szCs w:val="30"/>
          <w14:textFill>
            <w14:solidFill>
              <w14:schemeClr w14:val="tx1"/>
            </w14:solidFill>
          </w14:textFill>
        </w:rPr>
        <w:t>1、武胜县社会经济概况</w:t>
      </w:r>
    </w:p>
    <w:p w14:paraId="797A269E">
      <w:pPr>
        <w:ind w:firstLine="560" w:firstLineChars="200"/>
        <w:rPr>
          <w:rFonts w:hint="eastAsia" w:ascii="宋体" w:hAnsi="宋体" w:cs="宋体"/>
          <w:sz w:val="28"/>
          <w:szCs w:val="28"/>
        </w:rPr>
      </w:pPr>
      <w:r>
        <w:rPr>
          <w:rFonts w:hint="eastAsia" w:ascii="宋体" w:hAnsi="宋体" w:cs="宋体"/>
          <w:sz w:val="28"/>
          <w:szCs w:val="28"/>
        </w:rPr>
        <w:t>武胜县，地处四川省东部嘉陵江中游，广安地区西南部，四川、重庆两省市结合部，东临岳池县，西连遂宁市蓬溪县、南接重庆市合川区，北交南充市嘉陵区。为重庆“1小时经济圈核心板块。全辖区总面积960平方公里，辖17个镇、15个乡，515个村、34个社区，根据第七次人口普查数据，截至2020年11月1日零时，武胜县常住人口555897人。人口主要为汉族，全县有回、藏、蒙、维等35个少数民族。</w:t>
      </w:r>
    </w:p>
    <w:p w14:paraId="5E2867F8">
      <w:pPr>
        <w:ind w:firstLine="560" w:firstLineChars="200"/>
        <w:rPr>
          <w:rFonts w:hint="eastAsia" w:ascii="宋体" w:hAnsi="宋体" w:cs="宋体"/>
          <w:sz w:val="28"/>
          <w:szCs w:val="28"/>
        </w:rPr>
      </w:pPr>
      <w:r>
        <w:rPr>
          <w:rFonts w:hint="eastAsia" w:ascii="宋体" w:hAnsi="宋体" w:cs="宋体"/>
          <w:sz w:val="28"/>
          <w:szCs w:val="28"/>
        </w:rPr>
        <w:t>2020年全县实现地区生产总值（GDP）248.6亿元，较2015年的165.1亿元增长50.6%；全社会固定资产投资215.7亿元，较2015年的157.5亿元增长37%；地方一般公共预算收入7.37亿元，较2015年同口径增长5.4%；社会消费品零售总额83.9亿元，较2015年的52.4亿元增长60.1%。其中，第一产业实现增加值54.4亿元，同比增长5.8%；第二产业实现增加值73.5亿元，同比增长2.5%；第三产业实现增加值120.7亿元，同比增长3.3%，三次产业对经济增长的贡献率分别为31.9%、28.3%、39.8%。</w:t>
      </w:r>
    </w:p>
    <w:p w14:paraId="4F297693">
      <w:pPr>
        <w:pStyle w:val="6"/>
        <w:numPr>
          <w:ilvl w:val="2"/>
          <w:numId w:val="0"/>
        </w:numPr>
        <w:spacing w:line="416" w:lineRule="auto"/>
        <w:ind w:firstLine="602" w:firstLineChars="200"/>
        <w:rPr>
          <w:rFonts w:hint="eastAsia" w:ascii="宋体" w:hAnsi="宋体" w:cs="宋体"/>
          <w:color w:val="000000" w:themeColor="text1"/>
          <w:sz w:val="30"/>
          <w:szCs w:val="30"/>
          <w14:textFill>
            <w14:solidFill>
              <w14:schemeClr w14:val="tx1"/>
            </w14:solidFill>
          </w14:textFill>
        </w:rPr>
      </w:pPr>
      <w:r>
        <w:rPr>
          <w:rFonts w:hint="eastAsia" w:ascii="宋体" w:hAnsi="宋体" w:cs="宋体"/>
          <w:color w:val="000000" w:themeColor="text1"/>
          <w:sz w:val="30"/>
          <w:szCs w:val="30"/>
          <w14:textFill>
            <w14:solidFill>
              <w14:schemeClr w14:val="tx1"/>
            </w14:solidFill>
          </w14:textFill>
        </w:rPr>
        <w:t>2、 建设背景及政策</w:t>
      </w:r>
    </w:p>
    <w:p w14:paraId="04B6CB4F">
      <w:pPr>
        <w:ind w:firstLine="560" w:firstLineChars="200"/>
        <w:rPr>
          <w:rFonts w:hint="eastAsia" w:ascii="宋体" w:hAnsi="宋体" w:cs="宋体"/>
          <w:sz w:val="28"/>
          <w:szCs w:val="28"/>
        </w:rPr>
      </w:pPr>
      <w:r>
        <w:rPr>
          <w:rFonts w:hint="eastAsia" w:ascii="宋体" w:hAnsi="宋体" w:cs="宋体"/>
          <w:sz w:val="28"/>
          <w:szCs w:val="28"/>
        </w:rPr>
        <w:t>住房问题是重要的民生问题。党中央、国务院高度重视解决城市居民住房问题，始终把改善群众居住条件作为城市住房制度改革和房地产业发展的根本目的。随着雅安市城乡一体化进程的不断推进，因实施城市规划，产生了很多政策性拆迁片区，拆迁范围内的居民住房问题就成了亟待解决的问题。考虑到住房问题是重要的民生问题，党中央、国务院高度重视解决城市居民住房问题，始终把改善群众居住条件作为城市住房制度改革和房地产业发展的根本目的。</w:t>
      </w:r>
    </w:p>
    <w:p w14:paraId="73A24A5F">
      <w:pPr>
        <w:ind w:firstLine="560" w:firstLineChars="200"/>
        <w:rPr>
          <w:rFonts w:hint="eastAsia" w:ascii="宋体" w:hAnsi="宋体" w:cs="宋体"/>
          <w:sz w:val="28"/>
          <w:szCs w:val="28"/>
        </w:rPr>
      </w:pPr>
      <w:r>
        <w:rPr>
          <w:rFonts w:hint="eastAsia" w:ascii="宋体" w:hAnsi="宋体" w:cs="宋体"/>
          <w:sz w:val="28"/>
          <w:szCs w:val="28"/>
        </w:rPr>
        <w:t>党的十九大报告提出，促进工业化、信息化、城镇化、农业现代化同步发展，要求“必须以改善需求结构、优化产业结构、促进区域协调发展、推进城镇化为重点，着力解决制约经济持续健康发展的重大结构性问题”，推进经济结构战略性调整。城镇化建设成为十八大之后我国经济社会发展的主战略之一。而城市住房问题是中国这样一个人口大国快速城镇化过程中的大问题，面临非常复杂的情况和十分艰巨的任务；既要解决低收入家庭住房困难，也要改善棚户区、旧住宅区居民的住房条件。</w:t>
      </w:r>
    </w:p>
    <w:p w14:paraId="340C12F4">
      <w:pPr>
        <w:ind w:firstLine="560" w:firstLineChars="200"/>
        <w:rPr>
          <w:rFonts w:hint="eastAsia" w:ascii="宋体" w:hAnsi="宋体" w:cs="宋体"/>
          <w:sz w:val="28"/>
          <w:szCs w:val="28"/>
        </w:rPr>
      </w:pPr>
      <w:r>
        <w:rPr>
          <w:rFonts w:hint="eastAsia" w:ascii="宋体" w:hAnsi="宋体" w:cs="宋体"/>
          <w:sz w:val="28"/>
          <w:szCs w:val="28"/>
        </w:rPr>
        <w:t>党在十九大报告中指出，带领人民创造美好生活，是我们党始终不渝的奋斗目标。必须始终把人民利益摆在至高无上的地位，让改革发展成果更多更公平的惠及全体人民，朝着实现全体人民共同富裕不断迈进。报告指出，保障和改善民生要抓住人民最关心最直接最现实的利益问题，既尽力而为，又量力而行，一件事情接着一件事情办，一年接着一年干。坚持人人尽责、人人享有，坚守底线、突出重点、完善制度、引导预期，完善公共服务体系，保障群众基本生活，不断满足人民日益增长的美好生活需要，不断促进社会公平正义，形成有效的社会治理、良好的社会秩序，使人民获得感、幸福感、安全感更加充实、更有保障、更可持续。</w:t>
      </w:r>
    </w:p>
    <w:p w14:paraId="4E3FD89B">
      <w:pPr>
        <w:ind w:firstLine="560" w:firstLineChars="200"/>
        <w:rPr>
          <w:rFonts w:hint="eastAsia" w:ascii="宋体" w:hAnsi="宋体" w:cs="宋体"/>
          <w:sz w:val="28"/>
          <w:szCs w:val="28"/>
        </w:rPr>
      </w:pPr>
      <w:r>
        <w:rPr>
          <w:rFonts w:hint="eastAsia" w:ascii="宋体" w:hAnsi="宋体" w:cs="宋体"/>
          <w:sz w:val="28"/>
          <w:szCs w:val="28"/>
        </w:rPr>
        <w:t>在以上背景下，为改善龙女湖的基础设施，进一步提升城市品质，提高居民生活质量，推动城市高质量发展，根据《中共广安市委关于印发&lt;广安市实施城市提质工程建设宜居宜业宜游城市推进方案（2018-2022年）&gt;的通知》（广委发〔2018〕33号）、《中共武胜县委关于深入贯彻落实市委五届六次全会精神推进高质量发展建设经济强县宜人武胜的意见》（武委发〔2018〕19号）、《武胜县实施城市提质工程建设江湾湖畔休闲旅游城市总体方案（2018-2022年）》等相关文件精神及要求，武胜县住房和城乡建设局提出“武胜县龙女湖保障性安居住房建设项目”。</w:t>
      </w:r>
    </w:p>
    <w:p w14:paraId="02659478">
      <w:pPr>
        <w:pStyle w:val="6"/>
        <w:numPr>
          <w:ilvl w:val="2"/>
          <w:numId w:val="0"/>
        </w:numPr>
        <w:spacing w:line="416" w:lineRule="auto"/>
        <w:ind w:firstLine="602" w:firstLineChars="200"/>
        <w:rPr>
          <w:rFonts w:hint="eastAsia" w:ascii="宋体" w:hAnsi="宋体" w:cs="宋体"/>
          <w:color w:val="000000" w:themeColor="text1"/>
          <w:sz w:val="30"/>
          <w:szCs w:val="30"/>
          <w14:textFill>
            <w14:solidFill>
              <w14:schemeClr w14:val="tx1"/>
            </w14:solidFill>
          </w14:textFill>
        </w:rPr>
      </w:pPr>
      <w:r>
        <w:rPr>
          <w:rFonts w:hint="eastAsia" w:ascii="宋体" w:hAnsi="宋体" w:cs="宋体"/>
          <w:color w:val="000000" w:themeColor="text1"/>
          <w:sz w:val="30"/>
          <w:szCs w:val="30"/>
          <w14:textFill>
            <w14:solidFill>
              <w14:schemeClr w14:val="tx1"/>
            </w14:solidFill>
          </w14:textFill>
        </w:rPr>
        <w:t>3、项目建设必要性</w:t>
      </w:r>
    </w:p>
    <w:p w14:paraId="0DFD7120">
      <w:pPr>
        <w:ind w:firstLine="560" w:firstLineChars="200"/>
        <w:rPr>
          <w:rFonts w:hint="eastAsia" w:ascii="宋体" w:hAnsi="宋体" w:cs="宋体"/>
          <w:sz w:val="28"/>
          <w:szCs w:val="28"/>
        </w:rPr>
      </w:pPr>
      <w:r>
        <w:rPr>
          <w:rFonts w:hint="eastAsia" w:ascii="宋体" w:hAnsi="宋体" w:cs="宋体"/>
          <w:sz w:val="28"/>
          <w:szCs w:val="28"/>
        </w:rPr>
        <w:t>（1）项目建设是贯彻落实党中央、国务院宏观调控政策的要求</w:t>
      </w:r>
    </w:p>
    <w:p w14:paraId="4EE98E93">
      <w:pPr>
        <w:ind w:firstLine="560" w:firstLineChars="200"/>
        <w:rPr>
          <w:rFonts w:hint="eastAsia" w:ascii="宋体" w:hAnsi="宋体" w:cs="宋体"/>
          <w:sz w:val="28"/>
          <w:szCs w:val="28"/>
        </w:rPr>
      </w:pPr>
      <w:r>
        <w:rPr>
          <w:rFonts w:hint="eastAsia" w:ascii="宋体" w:hAnsi="宋体" w:cs="宋体"/>
          <w:sz w:val="28"/>
          <w:szCs w:val="28"/>
        </w:rPr>
        <w:t>住房问题是重要的民生问题。党中央、国务院高度重视解决城市居民住房问题，始终把改善群众居住条件作为城市住房制度改革和房地产业发展的根本目的。2007年以来，国务院多次召开专题会议，其根本目的就是为了解决低收入群众的住房问题。本项目的实施体现了党中央、国务院对人民群众的深切关怀，党的十九大报告指出，中国特色社会主义进入新时代，社会主要矛盾已转化为人民日益增长的美好生活需要和不平衡不充分的发展之间的矛盾。实施保障性安居住房项目,不仅是共享改革发展成果、帮助住房困难群体圆梦的具体体现,更是是党和政府关注民生、关心困难群众、改善民生的头等大事，是全心全意为人民服务的凝聚力工程，更是落实党中央、国务院宏观经济调控政策的具体要求。</w:t>
      </w:r>
    </w:p>
    <w:p w14:paraId="710F85DA">
      <w:pPr>
        <w:ind w:firstLine="560" w:firstLineChars="200"/>
        <w:rPr>
          <w:rFonts w:hint="eastAsia" w:ascii="宋体" w:hAnsi="宋体" w:cs="宋体"/>
          <w:sz w:val="28"/>
          <w:szCs w:val="28"/>
        </w:rPr>
      </w:pPr>
      <w:r>
        <w:rPr>
          <w:rFonts w:hint="eastAsia" w:ascii="宋体" w:hAnsi="宋体" w:cs="宋体"/>
          <w:sz w:val="28"/>
          <w:szCs w:val="28"/>
        </w:rPr>
        <w:t>（2）项目建设是促进社会和谐稳定发展的重要举措</w:t>
      </w:r>
    </w:p>
    <w:p w14:paraId="7B8EDDF9">
      <w:pPr>
        <w:ind w:firstLine="560" w:firstLineChars="200"/>
        <w:rPr>
          <w:rFonts w:hint="eastAsia" w:ascii="宋体" w:hAnsi="宋体" w:cs="宋体"/>
          <w:sz w:val="28"/>
          <w:szCs w:val="28"/>
        </w:rPr>
      </w:pPr>
      <w:r>
        <w:rPr>
          <w:rFonts w:hint="eastAsia" w:ascii="宋体" w:hAnsi="宋体" w:cs="宋体"/>
          <w:sz w:val="28"/>
          <w:szCs w:val="28"/>
        </w:rPr>
        <w:t>本项目的建设将配套城市基础设施和公共服务配套设施建设，新增道路、供水管线、排水管线、煤气管线，新建安置房等各种配套设施，进一步完善了城市功能，通过保障性安居住房的建设，极大地改善了城市生态环境和居民的生活环境，建成一个布局合理配套齐全、人居环境优良的城市新社区。缩小了城市不同群体、不同区域之间的生活差距，促进了人与人、人与子女之间的和谐。项目的建设有助于促进社会和谐稳定。</w:t>
      </w:r>
    </w:p>
    <w:p w14:paraId="32E69B4F">
      <w:pPr>
        <w:ind w:firstLine="560" w:firstLineChars="200"/>
        <w:rPr>
          <w:rFonts w:hint="eastAsia" w:ascii="宋体" w:hAnsi="宋体" w:cs="宋体"/>
          <w:sz w:val="28"/>
          <w:szCs w:val="28"/>
        </w:rPr>
      </w:pPr>
      <w:r>
        <w:rPr>
          <w:rFonts w:hint="eastAsia" w:ascii="宋体" w:hAnsi="宋体" w:cs="宋体"/>
          <w:sz w:val="28"/>
          <w:szCs w:val="28"/>
        </w:rPr>
        <w:t>（3）项目建设有助于带动投资和消费，促进经济社会协调发展都具有重要意义中央和四川省均把加快保障性安居工程建设作为保增长、保民生、保稳定的重要措施。保障性安居工程建设，既可以有力地拉动建筑业、建材业、交通运输业等相关产业的发展，为调整产业结构、扩大内需，保增长、解决社会就业与再就业也做出了积极的贡献，又可以发展社区公共服务，加强社会管理，推进平安社区建设，对推动经济社会协调发展的意义重大。本项目的实施，必将带动武胜县的投资和消费，促进经济社会协调发展，实现武胜县的经济和社会的发展。</w:t>
      </w:r>
    </w:p>
    <w:p w14:paraId="53E0F74C">
      <w:pPr>
        <w:ind w:firstLine="560" w:firstLineChars="200"/>
        <w:rPr>
          <w:rFonts w:hint="eastAsia" w:ascii="宋体" w:hAnsi="宋体" w:cs="宋体"/>
          <w:sz w:val="28"/>
          <w:szCs w:val="28"/>
        </w:rPr>
      </w:pPr>
      <w:r>
        <w:rPr>
          <w:rFonts w:hint="eastAsia" w:ascii="宋体" w:hAnsi="宋体" w:cs="宋体"/>
          <w:sz w:val="28"/>
          <w:szCs w:val="28"/>
        </w:rPr>
        <w:t>（4）项目建设是节约用地，提高土地利用率，实现土地资源效益最大化。</w:t>
      </w:r>
    </w:p>
    <w:p w14:paraId="787BF107">
      <w:pPr>
        <w:ind w:firstLine="560" w:firstLineChars="200"/>
        <w:rPr>
          <w:rFonts w:hint="eastAsia" w:ascii="宋体" w:hAnsi="宋体" w:cs="宋体"/>
          <w:sz w:val="28"/>
          <w:szCs w:val="28"/>
        </w:rPr>
      </w:pPr>
      <w:r>
        <w:rPr>
          <w:rFonts w:hint="eastAsia" w:ascii="宋体" w:hAnsi="宋体" w:cs="宋体"/>
          <w:sz w:val="28"/>
          <w:szCs w:val="28"/>
        </w:rPr>
        <w:t>随着本项目的实施，将完善各片区内的市政基础设施和公共配套设施建设，促进区域城市规划的实施。项目项目的实施将把片区打造成功能分区明确，布局合理，环境优美的居住区，可以改善片区群众的生活、生产及居住条件。</w:t>
      </w:r>
    </w:p>
    <w:p w14:paraId="45DA9241">
      <w:pPr>
        <w:ind w:firstLine="560" w:firstLineChars="200"/>
        <w:rPr>
          <w:rFonts w:hint="eastAsia" w:ascii="宋体" w:hAnsi="宋体" w:cs="宋体"/>
          <w:sz w:val="28"/>
          <w:szCs w:val="28"/>
        </w:rPr>
      </w:pPr>
      <w:r>
        <w:rPr>
          <w:rFonts w:hint="eastAsia" w:ascii="宋体" w:hAnsi="宋体" w:cs="宋体"/>
          <w:sz w:val="28"/>
          <w:szCs w:val="28"/>
        </w:rPr>
        <w:t>项目建成后，将使原有的区域地块价值进一步提升，充分发挥城市建设用地的价值，有利于城市基础设施建设资金的筹集，达到城市建设的良性循环，有利于武胜县经济发展规划的实施，促进全市社会、经济、环境全面协调和可持续发展。</w:t>
      </w:r>
    </w:p>
    <w:p w14:paraId="6D299310">
      <w:pPr>
        <w:ind w:firstLine="560" w:firstLineChars="200"/>
        <w:rPr>
          <w:rFonts w:hint="eastAsia" w:ascii="宋体" w:hAnsi="宋体" w:cs="宋体"/>
          <w:sz w:val="28"/>
          <w:szCs w:val="28"/>
        </w:rPr>
      </w:pPr>
      <w:r>
        <w:rPr>
          <w:rFonts w:hint="eastAsia" w:ascii="宋体" w:hAnsi="宋体" w:cs="宋体"/>
          <w:sz w:val="28"/>
          <w:szCs w:val="28"/>
        </w:rPr>
        <w:t>综上所述，本项目的实施有利于武胜县各个方面的稳步发展，符合武胜县城市发展规划，是落实党和国家政策的重要基础。项目的建设是贯彻落实党中央、国务院关于改善低收入家庭住房困难的具体行动，是解决和改善人民群众最直接、最现实问题的重要举措，对于保持武胜县经济持续发展、社会和谐稳定具有重要意义。由此可见，本项目的建设是非常迫切和必要的。</w:t>
      </w:r>
    </w:p>
    <w:p w14:paraId="6EFBC9A4">
      <w:pPr>
        <w:spacing w:line="560" w:lineRule="exact"/>
        <w:ind w:firstLine="643" w:firstLineChars="200"/>
        <w:rPr>
          <w:rFonts w:hint="eastAsia" w:ascii="宋体" w:hAnsi="宋体" w:cs="宋体"/>
          <w:b/>
          <w:sz w:val="32"/>
          <w:szCs w:val="32"/>
        </w:rPr>
      </w:pPr>
      <w:r>
        <w:rPr>
          <w:rFonts w:hint="eastAsia" w:ascii="宋体" w:hAnsi="宋体" w:cs="宋体"/>
          <w:b/>
          <w:sz w:val="32"/>
          <w:szCs w:val="32"/>
        </w:rPr>
        <w:t>（二）项目情况</w:t>
      </w:r>
    </w:p>
    <w:p w14:paraId="4C738A18">
      <w:pPr>
        <w:spacing w:line="560" w:lineRule="exact"/>
        <w:ind w:firstLine="643" w:firstLineChars="200"/>
        <w:rPr>
          <w:rFonts w:hint="eastAsia" w:ascii="宋体" w:hAnsi="宋体" w:cs="宋体"/>
          <w:b/>
          <w:sz w:val="32"/>
          <w:szCs w:val="32"/>
        </w:rPr>
      </w:pPr>
      <w:r>
        <w:rPr>
          <w:rFonts w:hint="eastAsia" w:ascii="宋体" w:hAnsi="宋体" w:cs="宋体"/>
          <w:b/>
          <w:sz w:val="32"/>
          <w:szCs w:val="32"/>
        </w:rPr>
        <w:t>1.参与主体</w:t>
      </w:r>
    </w:p>
    <w:p w14:paraId="07859BC1">
      <w:pPr>
        <w:spacing w:line="360" w:lineRule="auto"/>
        <w:ind w:firstLine="560" w:firstLineChars="200"/>
        <w:rPr>
          <w:rFonts w:hint="eastAsia" w:ascii="宋体" w:hAnsi="宋体" w:cs="宋体"/>
          <w:color w:val="000000" w:themeColor="text1"/>
          <w:sz w:val="28"/>
          <w:szCs w:val="28"/>
          <w14:textFill>
            <w14:solidFill>
              <w14:schemeClr w14:val="tx1"/>
            </w14:solidFill>
          </w14:textFill>
        </w:rPr>
      </w:pPr>
      <w:r>
        <w:rPr>
          <w:rFonts w:hint="eastAsia" w:ascii="宋体" w:hAnsi="宋体" w:cs="宋体"/>
          <w:sz w:val="28"/>
          <w:szCs w:val="28"/>
        </w:rPr>
        <w:t>实施机构：</w:t>
      </w:r>
      <w:r>
        <w:rPr>
          <w:rFonts w:hint="eastAsia" w:ascii="宋体" w:hAnsi="宋体" w:cs="宋体"/>
          <w:color w:val="000000" w:themeColor="text1"/>
          <w:sz w:val="28"/>
          <w:szCs w:val="28"/>
          <w14:textFill>
            <w14:solidFill>
              <w14:schemeClr w14:val="tx1"/>
            </w14:solidFill>
          </w14:textFill>
        </w:rPr>
        <w:t>武胜县住房和城乡建设局</w:t>
      </w:r>
    </w:p>
    <w:p w14:paraId="2BB4F735">
      <w:pPr>
        <w:ind w:firstLine="560"/>
        <w:rPr>
          <w:rFonts w:hint="eastAsia" w:ascii="宋体" w:hAnsi="宋体" w:cs="宋体"/>
          <w:sz w:val="28"/>
          <w:szCs w:val="28"/>
        </w:rPr>
      </w:pPr>
      <w:r>
        <w:rPr>
          <w:rFonts w:hint="eastAsia" w:ascii="宋体" w:hAnsi="宋体" w:cs="宋体"/>
          <w:sz w:val="28"/>
          <w:szCs w:val="28"/>
        </w:rPr>
        <w:t>项目业主：</w:t>
      </w:r>
      <w:r>
        <w:rPr>
          <w:rFonts w:hint="eastAsia" w:ascii="宋体" w:hAnsi="宋体" w:cs="宋体"/>
          <w:color w:val="000000" w:themeColor="text1"/>
          <w:sz w:val="28"/>
          <w:szCs w:val="28"/>
          <w14:textFill>
            <w14:solidFill>
              <w14:schemeClr w14:val="tx1"/>
            </w14:solidFill>
          </w14:textFill>
        </w:rPr>
        <w:t>武胜县住房和城乡建设局</w:t>
      </w:r>
    </w:p>
    <w:p w14:paraId="587C79A7">
      <w:pPr>
        <w:spacing w:line="560" w:lineRule="exact"/>
        <w:ind w:firstLine="643" w:firstLineChars="200"/>
        <w:rPr>
          <w:rFonts w:ascii="仿宋_GB2312" w:eastAsia="仿宋_GB2312"/>
          <w:b/>
          <w:sz w:val="32"/>
          <w:szCs w:val="32"/>
        </w:rPr>
      </w:pPr>
      <w:r>
        <w:rPr>
          <w:rFonts w:hint="eastAsia" w:ascii="仿宋_GB2312" w:eastAsia="仿宋_GB2312"/>
          <w:b/>
          <w:sz w:val="32"/>
          <w:szCs w:val="32"/>
        </w:rPr>
        <w:t>2.项目概况</w:t>
      </w:r>
    </w:p>
    <w:p w14:paraId="3A53EDDC">
      <w:pPr>
        <w:ind w:firstLine="560"/>
        <w:rPr>
          <w:rFonts w:hint="eastAsia" w:ascii="宋体" w:hAnsi="宋体" w:cs="宋体"/>
          <w:sz w:val="28"/>
          <w:szCs w:val="28"/>
        </w:rPr>
      </w:pPr>
      <w:r>
        <w:rPr>
          <w:rFonts w:hint="eastAsia" w:ascii="宋体" w:hAnsi="宋体" w:cs="宋体"/>
          <w:sz w:val="28"/>
          <w:szCs w:val="28"/>
        </w:rPr>
        <w:t>（1）项目名称：武胜县龙女湖保障性安居住房建设项目</w:t>
      </w:r>
    </w:p>
    <w:p w14:paraId="40D8E3DE">
      <w:pPr>
        <w:ind w:firstLine="560"/>
        <w:rPr>
          <w:rFonts w:hint="eastAsia" w:ascii="宋体" w:hAnsi="宋体" w:cs="宋体"/>
          <w:sz w:val="28"/>
          <w:szCs w:val="28"/>
        </w:rPr>
      </w:pPr>
      <w:r>
        <w:rPr>
          <w:rFonts w:hint="eastAsia" w:ascii="宋体" w:hAnsi="宋体" w:cs="宋体"/>
          <w:sz w:val="28"/>
          <w:szCs w:val="28"/>
        </w:rPr>
        <w:t>（2）项目建设性质：新建</w:t>
      </w:r>
    </w:p>
    <w:p w14:paraId="5BAA9869">
      <w:pPr>
        <w:ind w:firstLine="560"/>
        <w:rPr>
          <w:rFonts w:hint="eastAsia" w:ascii="宋体" w:hAnsi="宋体" w:cs="宋体"/>
          <w:sz w:val="28"/>
          <w:szCs w:val="28"/>
        </w:rPr>
      </w:pPr>
      <w:r>
        <w:rPr>
          <w:rFonts w:hint="eastAsia" w:ascii="宋体" w:hAnsi="宋体" w:cs="宋体"/>
          <w:sz w:val="28"/>
          <w:szCs w:val="28"/>
        </w:rPr>
        <w:t>（3）项目总投资：40,000.00万元</w:t>
      </w:r>
    </w:p>
    <w:p w14:paraId="3AA5C90A">
      <w:pPr>
        <w:ind w:firstLine="560"/>
        <w:rPr>
          <w:rFonts w:hint="eastAsia" w:ascii="宋体" w:hAnsi="宋体" w:cs="宋体"/>
          <w:sz w:val="28"/>
          <w:szCs w:val="28"/>
        </w:rPr>
      </w:pPr>
      <w:r>
        <w:rPr>
          <w:rFonts w:hint="eastAsia" w:ascii="宋体" w:hAnsi="宋体" w:cs="宋体"/>
          <w:sz w:val="28"/>
          <w:szCs w:val="28"/>
        </w:rPr>
        <w:t>（4）项目建设期： 24个月</w:t>
      </w:r>
    </w:p>
    <w:p w14:paraId="051E56C2">
      <w:pPr>
        <w:ind w:firstLine="560"/>
        <w:rPr>
          <w:rFonts w:hint="eastAsia" w:ascii="宋体" w:hAnsi="宋体" w:cs="宋体"/>
          <w:sz w:val="28"/>
          <w:szCs w:val="28"/>
        </w:rPr>
      </w:pPr>
      <w:r>
        <w:rPr>
          <w:rFonts w:hint="eastAsia" w:ascii="宋体" w:hAnsi="宋体" w:cs="宋体"/>
          <w:sz w:val="28"/>
          <w:szCs w:val="28"/>
        </w:rPr>
        <w:t>（5）开工时间： 2023年2月</w:t>
      </w:r>
    </w:p>
    <w:p w14:paraId="77F306F2">
      <w:pPr>
        <w:ind w:firstLine="560"/>
        <w:rPr>
          <w:rFonts w:hint="eastAsia" w:ascii="宋体" w:hAnsi="宋体" w:cs="宋体"/>
          <w:sz w:val="28"/>
          <w:szCs w:val="28"/>
        </w:rPr>
      </w:pPr>
      <w:r>
        <w:rPr>
          <w:rFonts w:hint="eastAsia" w:ascii="宋体" w:hAnsi="宋体" w:cs="宋体"/>
          <w:sz w:val="28"/>
          <w:szCs w:val="28"/>
        </w:rPr>
        <w:t>（6）项目建设内容与规模：</w:t>
      </w:r>
    </w:p>
    <w:p w14:paraId="415E7424">
      <w:pPr>
        <w:pStyle w:val="13"/>
        <w:ind w:firstLine="560"/>
        <w:rPr>
          <w:rFonts w:hint="eastAsia" w:ascii="宋体" w:hAnsi="宋体" w:cs="宋体"/>
          <w:szCs w:val="28"/>
        </w:rPr>
      </w:pPr>
      <w:r>
        <w:rPr>
          <w:rFonts w:hint="eastAsia" w:ascii="宋体" w:hAnsi="宋体" w:cs="宋体"/>
          <w:szCs w:val="28"/>
        </w:rPr>
        <w:t>本项目建设规模及内容包括：1、保障性安居住房部分：项目总用地面积31881.31平方米（约47.82亩），住房部分总建筑面积152882.44平方米。其中，地上计容建筑面积111567.21平方米。新建住宅1055套用于拆迁安置，建筑面积108765.6平方米；小区配套底层2376.05平方米、小区管理配套用房425.56平方米；地下建筑41315.23平方米，其中，地下机动车建筑面积37215.38平方米，车位904个，地下非机动车库建筑面积1801.59平方米，非机动车位905个；地下设备用房面积2298.26平方米。</w:t>
      </w:r>
    </w:p>
    <w:p w14:paraId="5F9A573A">
      <w:pPr>
        <w:pStyle w:val="13"/>
        <w:ind w:firstLine="560"/>
      </w:pPr>
      <w:r>
        <w:rPr>
          <w:rFonts w:hint="eastAsia" w:ascii="宋体" w:hAnsi="宋体" w:cs="宋体"/>
          <w:szCs w:val="28"/>
        </w:rPr>
        <w:t>2、配套用房建设：公共配套设施（含地下）25000平方米，其中社区管理用房300平方米，社区服务中心400平方米，社区警务室50平方米，文化活动实1000平方米，社区健康服务中心2000平方米，社区老年人日间照料中心1500平方米，公共充电站700平方米，其他附属用房面积19050平方米。</w:t>
      </w:r>
    </w:p>
    <w:p w14:paraId="3F113738">
      <w:pPr>
        <w:pStyle w:val="13"/>
        <w:ind w:firstLine="640"/>
        <w:rPr>
          <w:rFonts w:hint="eastAsia" w:ascii="黑体" w:hAnsi="黑体" w:eastAsia="黑体"/>
          <w:sz w:val="32"/>
          <w:szCs w:val="32"/>
        </w:rPr>
      </w:pPr>
      <w:r>
        <w:rPr>
          <w:rFonts w:hint="eastAsia" w:ascii="黑体" w:hAnsi="黑体" w:eastAsia="黑体"/>
          <w:sz w:val="32"/>
          <w:szCs w:val="32"/>
        </w:rPr>
        <w:t>二、经济社会效益分析</w:t>
      </w:r>
    </w:p>
    <w:p w14:paraId="12802F72">
      <w:pPr>
        <w:pStyle w:val="6"/>
        <w:numPr>
          <w:ilvl w:val="2"/>
          <w:numId w:val="0"/>
        </w:numPr>
        <w:ind w:left="420" w:leftChars="200"/>
        <w:rPr>
          <w:rFonts w:hint="eastAsia" w:ascii="宋体" w:hAnsi="宋体" w:cs="宋体"/>
          <w:sz w:val="30"/>
          <w:szCs w:val="30"/>
        </w:rPr>
      </w:pPr>
      <w:bookmarkStart w:id="2" w:name="_Toc30130"/>
      <w:bookmarkStart w:id="3" w:name="_Toc16109"/>
      <w:bookmarkStart w:id="4" w:name="_Toc12190"/>
      <w:bookmarkStart w:id="5" w:name="_Toc23802"/>
      <w:bookmarkStart w:id="6" w:name="_Toc25531"/>
      <w:bookmarkStart w:id="7" w:name="_Toc29061"/>
      <w:bookmarkStart w:id="8" w:name="_Toc25492"/>
      <w:bookmarkStart w:id="9" w:name="_Toc8719"/>
      <w:bookmarkStart w:id="10" w:name="_Toc3567"/>
      <w:bookmarkStart w:id="11" w:name="_Toc20261"/>
      <w:bookmarkStart w:id="12" w:name="_Toc1844"/>
      <w:bookmarkStart w:id="13" w:name="_Toc18168"/>
      <w:bookmarkStart w:id="14" w:name="_Toc28567"/>
      <w:bookmarkStart w:id="15" w:name="_Toc19956"/>
      <w:bookmarkStart w:id="16" w:name="_Toc26165"/>
      <w:bookmarkStart w:id="17" w:name="_Toc21027"/>
      <w:bookmarkStart w:id="18" w:name="_Toc11024"/>
      <w:bookmarkStart w:id="19" w:name="_Toc31769"/>
      <w:bookmarkStart w:id="20" w:name="_Toc121"/>
      <w:bookmarkStart w:id="21" w:name="_Toc25667"/>
      <w:bookmarkStart w:id="22" w:name="_Toc32167"/>
      <w:r>
        <w:rPr>
          <w:rFonts w:hint="eastAsia" w:ascii="宋体" w:hAnsi="宋体" w:cs="宋体"/>
          <w:sz w:val="30"/>
          <w:szCs w:val="30"/>
        </w:rPr>
        <w:t>1.经济效益</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5AA8E28F">
      <w:pPr>
        <w:ind w:firstLine="560" w:firstLineChars="200"/>
        <w:rPr>
          <w:rFonts w:hint="eastAsia" w:ascii="宋体" w:hAnsi="宋体" w:cs="宋体"/>
          <w:sz w:val="28"/>
          <w:szCs w:val="28"/>
        </w:rPr>
      </w:pPr>
      <w:bookmarkStart w:id="23" w:name="_Toc2297"/>
      <w:bookmarkStart w:id="24" w:name="_Toc26705"/>
      <w:bookmarkStart w:id="25" w:name="_Toc14870"/>
      <w:bookmarkStart w:id="26" w:name="_Toc23439"/>
      <w:bookmarkStart w:id="27" w:name="_Toc14102"/>
      <w:bookmarkStart w:id="28" w:name="_Toc5331"/>
      <w:bookmarkStart w:id="29" w:name="_Toc26821"/>
      <w:bookmarkStart w:id="30" w:name="_Toc28903"/>
      <w:bookmarkStart w:id="31" w:name="_Toc8916"/>
      <w:bookmarkStart w:id="32" w:name="_Toc16246"/>
      <w:bookmarkStart w:id="33" w:name="_Toc18853"/>
      <w:bookmarkStart w:id="34" w:name="_Toc23263"/>
      <w:bookmarkStart w:id="35" w:name="_Toc21475"/>
      <w:bookmarkStart w:id="36" w:name="_Toc6031"/>
      <w:bookmarkStart w:id="37" w:name="_Toc15624"/>
      <w:bookmarkStart w:id="38" w:name="_Toc29350"/>
      <w:bookmarkStart w:id="39" w:name="_Toc27787"/>
      <w:bookmarkStart w:id="40" w:name="_Toc20947"/>
      <w:bookmarkStart w:id="41" w:name="_Toc9905"/>
      <w:bookmarkStart w:id="42" w:name="_Toc23539"/>
      <w:bookmarkStart w:id="43" w:name="_Toc5318"/>
      <w:bookmarkStart w:id="44" w:name="_Toc5923"/>
      <w:bookmarkStart w:id="45" w:name="_Toc5203"/>
      <w:bookmarkStart w:id="46" w:name="_Toc9906"/>
      <w:bookmarkStart w:id="47" w:name="_Toc3352"/>
      <w:r>
        <w:rPr>
          <w:rFonts w:ascii="宋体" w:hAnsi="宋体" w:cs="宋体"/>
          <w:sz w:val="28"/>
          <w:szCs w:val="28"/>
        </w:rPr>
        <w:t>本项目为武胜县住房和城乡建设局受县委、县政府的委托进行保障性安居住房建设。本项目的开发建设，不仅带动建筑业、服务业，而且刺激其它相关产业的发展，促进各项消费。随着本项目的建设，将推动商业、建筑业等相关行业的发展，这将进一步地提高武胜县的人口集聚力和承载力。</w:t>
      </w:r>
    </w:p>
    <w:p w14:paraId="1C085FFE">
      <w:pPr>
        <w:ind w:firstLine="602" w:firstLineChars="200"/>
        <w:rPr>
          <w:rFonts w:hint="eastAsia" w:ascii="宋体" w:hAnsi="宋体" w:cs="宋体"/>
          <w:b/>
          <w:bCs/>
          <w:sz w:val="30"/>
          <w:szCs w:val="30"/>
        </w:rPr>
      </w:pPr>
      <w:r>
        <w:rPr>
          <w:rFonts w:hint="eastAsia" w:ascii="宋体" w:hAnsi="宋体" w:cs="宋体"/>
          <w:b/>
          <w:bCs/>
          <w:sz w:val="30"/>
          <w:szCs w:val="30"/>
        </w:rPr>
        <w:t>2.社会效益</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0857572A">
      <w:pPr>
        <w:ind w:firstLine="560" w:firstLineChars="200"/>
        <w:rPr>
          <w:rFonts w:hint="eastAsia" w:ascii="宋体" w:hAnsi="宋体" w:cs="宋体"/>
          <w:sz w:val="28"/>
          <w:szCs w:val="28"/>
        </w:rPr>
      </w:pPr>
      <w:bookmarkStart w:id="48" w:name="_Toc21344"/>
      <w:bookmarkStart w:id="49" w:name="_Toc14073"/>
      <w:bookmarkStart w:id="50" w:name="_Toc25850"/>
      <w:bookmarkStart w:id="51" w:name="_Toc26567"/>
      <w:bookmarkStart w:id="52" w:name="_Toc14588"/>
      <w:bookmarkStart w:id="53" w:name="_Toc17633"/>
      <w:bookmarkStart w:id="54" w:name="_Toc5900"/>
      <w:bookmarkStart w:id="55" w:name="_Toc14806"/>
      <w:bookmarkStart w:id="56" w:name="_Toc2775"/>
      <w:bookmarkStart w:id="57" w:name="_Toc28223"/>
      <w:bookmarkStart w:id="58" w:name="_Toc1908"/>
      <w:bookmarkStart w:id="59" w:name="_Toc18085"/>
      <w:bookmarkStart w:id="60" w:name="_Toc28678"/>
      <w:bookmarkStart w:id="61" w:name="_Toc11764"/>
      <w:bookmarkStart w:id="62" w:name="_Toc6766"/>
      <w:bookmarkStart w:id="63" w:name="_Toc14970"/>
      <w:bookmarkStart w:id="64" w:name="_Toc10050"/>
      <w:bookmarkStart w:id="65" w:name="_Toc9860"/>
      <w:bookmarkStart w:id="66" w:name="_Toc5372"/>
      <w:r>
        <w:rPr>
          <w:rFonts w:hint="eastAsia" w:ascii="宋体" w:hAnsi="宋体" w:cs="宋体"/>
          <w:sz w:val="28"/>
          <w:szCs w:val="28"/>
        </w:rPr>
        <w:t>（1）促进就业、消化剩余劳动力</w:t>
      </w:r>
    </w:p>
    <w:p w14:paraId="19B7891A">
      <w:pPr>
        <w:ind w:firstLine="560" w:firstLineChars="200"/>
        <w:rPr>
          <w:rFonts w:hint="eastAsia" w:ascii="宋体" w:hAnsi="宋体" w:cs="宋体"/>
          <w:sz w:val="28"/>
          <w:szCs w:val="28"/>
        </w:rPr>
      </w:pPr>
      <w:r>
        <w:rPr>
          <w:rFonts w:hint="eastAsia" w:ascii="宋体" w:hAnsi="宋体" w:cs="宋体"/>
          <w:sz w:val="28"/>
          <w:szCs w:val="28"/>
        </w:rPr>
        <w:t>本项目一进入启动阶段，将拉动投资和消费，将有利于进一步吸引投资，推动武胜县经济增长，新增众多的就业机会，从而解决部分市民的就业问题。</w:t>
      </w:r>
    </w:p>
    <w:p w14:paraId="31136FAE">
      <w:pPr>
        <w:ind w:firstLine="560" w:firstLineChars="200"/>
        <w:rPr>
          <w:rFonts w:hint="eastAsia" w:ascii="宋体" w:hAnsi="宋体" w:cs="宋体"/>
          <w:sz w:val="28"/>
          <w:szCs w:val="28"/>
        </w:rPr>
      </w:pPr>
      <w:r>
        <w:rPr>
          <w:rFonts w:hint="eastAsia" w:ascii="宋体" w:hAnsi="宋体" w:cs="宋体"/>
          <w:sz w:val="28"/>
          <w:szCs w:val="28"/>
        </w:rPr>
        <w:t>同时，在施工过程中，将投入较大的施工力量，项目建设所需的上下游建筑材料的需求，又给相关行业增加了就业机会，由此项目带动了间接的就业岗位。</w:t>
      </w:r>
    </w:p>
    <w:p w14:paraId="51B039C1">
      <w:pPr>
        <w:ind w:firstLine="560" w:firstLineChars="200"/>
        <w:rPr>
          <w:rFonts w:hint="eastAsia" w:ascii="宋体" w:hAnsi="宋体" w:cs="宋体"/>
          <w:sz w:val="28"/>
          <w:szCs w:val="28"/>
        </w:rPr>
      </w:pPr>
      <w:r>
        <w:rPr>
          <w:rFonts w:hint="eastAsia" w:ascii="宋体" w:hAnsi="宋体" w:cs="宋体"/>
          <w:sz w:val="28"/>
          <w:szCs w:val="28"/>
        </w:rPr>
        <w:t>（2）促进民生发展，推动城镇化进程</w:t>
      </w:r>
    </w:p>
    <w:p w14:paraId="70A48F41">
      <w:pPr>
        <w:ind w:firstLine="560" w:firstLineChars="200"/>
        <w:rPr>
          <w:rFonts w:hint="eastAsia" w:ascii="宋体" w:hAnsi="宋体" w:cs="宋体"/>
          <w:sz w:val="28"/>
          <w:szCs w:val="28"/>
        </w:rPr>
      </w:pPr>
      <w:r>
        <w:rPr>
          <w:rFonts w:hint="eastAsia" w:ascii="宋体" w:hAnsi="宋体" w:cs="宋体"/>
          <w:sz w:val="28"/>
          <w:szCs w:val="28"/>
        </w:rPr>
        <w:t>本项目必然推动居民素质、物质文明建设的不断改善，将为精神文明建设创造必要的物质基础与基本条件，随着社会风气、民俗风情、新闻传播等各种人文现象和文化活动的不断提高，从而有利于居民自身素质的提高和发展，有利于广大市民文明习惯的形成，有利于社会文明风气，有利于文明城市建设，塑造美好的城市形象。因此，项目的建设将一定程度地改善当地的人文环境。</w:t>
      </w:r>
    </w:p>
    <w:p w14:paraId="7418B143">
      <w:pPr>
        <w:ind w:firstLine="560" w:firstLineChars="200"/>
        <w:rPr>
          <w:rFonts w:hint="eastAsia" w:ascii="宋体" w:hAnsi="宋体" w:cs="宋体"/>
          <w:sz w:val="28"/>
          <w:szCs w:val="28"/>
        </w:rPr>
      </w:pPr>
      <w:r>
        <w:rPr>
          <w:rFonts w:hint="eastAsia" w:ascii="宋体" w:hAnsi="宋体" w:cs="宋体"/>
          <w:sz w:val="28"/>
          <w:szCs w:val="28"/>
        </w:rPr>
        <w:t>本项目的建设符合武胜县城市规划要求，有利于进一步增强城市基础配套设施，促进城市可持续发展，可得到当地政府部门的积极支持和配合；项目的建设也有利于推动地方经济的发展，改善城市环境，可得到当地居民的支持。</w:t>
      </w:r>
    </w:p>
    <w:p w14:paraId="725552E5">
      <w:pPr>
        <w:pStyle w:val="6"/>
        <w:numPr>
          <w:ilvl w:val="2"/>
          <w:numId w:val="0"/>
        </w:numPr>
        <w:ind w:left="420" w:leftChars="200"/>
        <w:rPr>
          <w:rFonts w:hint="eastAsia" w:ascii="宋体" w:hAnsi="宋体" w:cs="宋体"/>
          <w:sz w:val="30"/>
          <w:szCs w:val="30"/>
        </w:rPr>
      </w:pPr>
      <w:r>
        <w:rPr>
          <w:rFonts w:hint="eastAsia" w:ascii="宋体" w:hAnsi="宋体" w:cs="宋体"/>
          <w:sz w:val="30"/>
          <w:szCs w:val="30"/>
        </w:rPr>
        <w:t>3.项目公益性论证</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4E5A0943">
      <w:pPr>
        <w:ind w:firstLine="560" w:firstLineChars="200"/>
        <w:rPr>
          <w:rFonts w:hint="eastAsia" w:ascii="宋体" w:hAnsi="宋体" w:cs="宋体"/>
          <w:sz w:val="28"/>
          <w:szCs w:val="28"/>
        </w:rPr>
      </w:pPr>
      <w:r>
        <w:rPr>
          <w:rFonts w:hint="eastAsia" w:ascii="宋体" w:hAnsi="宋体" w:cs="宋体"/>
          <w:sz w:val="28"/>
          <w:szCs w:val="28"/>
        </w:rPr>
        <w:t>《财政部发展改革委人民银行银监会关于贯彻国务院关于加强地方政府融资平台公司管理有关问题的通知相关事项的通知》（财预[2010]412号）规定，“公益性项目”是指为社会公共利益服务、不以盈利为目的，且不能或不宜通过市场化方式运作的政府投资项目，如市政道路、公共交通等基础设施项目，以及公共卫生、基础科研、义务教育、保障性安居工程等基本建设项目。</w:t>
      </w:r>
    </w:p>
    <w:p w14:paraId="6F2222BC">
      <w:pPr>
        <w:ind w:firstLine="560" w:firstLineChars="200"/>
        <w:rPr>
          <w:rFonts w:hint="eastAsia" w:ascii="宋体" w:hAnsi="宋体" w:cs="宋体"/>
          <w:sz w:val="28"/>
          <w:szCs w:val="28"/>
        </w:rPr>
      </w:pPr>
      <w:r>
        <w:rPr>
          <w:rFonts w:hint="eastAsia" w:ascii="宋体" w:hAnsi="宋体" w:cs="宋体"/>
          <w:sz w:val="28"/>
          <w:szCs w:val="28"/>
        </w:rPr>
        <w:t>本项目为武胜县龙女湖保障性安居住房建设，项目属于保障性安居工程领域中的棚户区改造项目、为社会公共利益服务、不以盈利为目的且不宜通过市场化方式运作；故本项目符合上述文件对“公益性项目”的定义。</w:t>
      </w:r>
    </w:p>
    <w:p w14:paraId="0B9B6682">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三、项目投资估算及资金筹措方案</w:t>
      </w:r>
    </w:p>
    <w:p w14:paraId="63B84564">
      <w:pPr>
        <w:spacing w:line="560" w:lineRule="exact"/>
        <w:ind w:firstLine="643" w:firstLineChars="200"/>
        <w:rPr>
          <w:rFonts w:ascii="楷体_GB2312" w:eastAsia="楷体_GB2312"/>
          <w:b/>
          <w:sz w:val="32"/>
          <w:szCs w:val="32"/>
        </w:rPr>
      </w:pPr>
      <w:r>
        <w:rPr>
          <w:rFonts w:hint="eastAsia" w:ascii="楷体_GB2312" w:eastAsia="楷体_GB2312"/>
          <w:b/>
          <w:sz w:val="32"/>
          <w:szCs w:val="32"/>
        </w:rPr>
        <w:t>（一）</w:t>
      </w:r>
      <w:r>
        <w:rPr>
          <w:rFonts w:hint="eastAsia" w:ascii="楷体_GB2312" w:eastAsia="楷体_GB2312"/>
          <w:b/>
          <w:sz w:val="32"/>
          <w:szCs w:val="32"/>
        </w:rPr>
        <w:tab/>
      </w:r>
      <w:r>
        <w:rPr>
          <w:rFonts w:hint="eastAsia" w:ascii="楷体_GB2312" w:eastAsia="楷体_GB2312"/>
          <w:b/>
          <w:sz w:val="32"/>
          <w:szCs w:val="32"/>
        </w:rPr>
        <w:t>投资估算</w:t>
      </w:r>
    </w:p>
    <w:p w14:paraId="2F4B0810">
      <w:pPr>
        <w:ind w:firstLine="560"/>
        <w:rPr>
          <w:rFonts w:hint="eastAsia" w:ascii="宋体" w:hAnsi="宋体" w:cs="宋体"/>
          <w:sz w:val="28"/>
          <w:szCs w:val="28"/>
        </w:rPr>
      </w:pPr>
      <w:r>
        <w:rPr>
          <w:rFonts w:hint="eastAsia" w:ascii="宋体" w:hAnsi="宋体" w:cs="宋体"/>
          <w:sz w:val="28"/>
          <w:szCs w:val="28"/>
        </w:rPr>
        <w:t>本项目工程估算总投资为40000.00万元，其中：</w:t>
      </w:r>
    </w:p>
    <w:p w14:paraId="6C811584">
      <w:pPr>
        <w:ind w:firstLine="560"/>
        <w:rPr>
          <w:rFonts w:hint="eastAsia" w:ascii="宋体" w:hAnsi="宋体" w:cs="宋体"/>
          <w:sz w:val="28"/>
          <w:szCs w:val="28"/>
        </w:rPr>
      </w:pPr>
      <w:r>
        <w:rPr>
          <w:rFonts w:hint="eastAsia" w:ascii="宋体" w:hAnsi="宋体" w:cs="宋体"/>
          <w:sz w:val="28"/>
          <w:szCs w:val="28"/>
        </w:rPr>
        <w:t>第一部分工程费用34908.05万元，占总投资的87.27%；</w:t>
      </w:r>
    </w:p>
    <w:p w14:paraId="2F2362A3">
      <w:pPr>
        <w:ind w:firstLine="560"/>
        <w:rPr>
          <w:rFonts w:hint="eastAsia" w:ascii="宋体" w:hAnsi="宋体" w:cs="宋体"/>
          <w:sz w:val="28"/>
          <w:szCs w:val="28"/>
        </w:rPr>
      </w:pPr>
      <w:r>
        <w:rPr>
          <w:rFonts w:hint="eastAsia" w:ascii="宋体" w:hAnsi="宋体" w:cs="宋体"/>
          <w:sz w:val="28"/>
          <w:szCs w:val="28"/>
        </w:rPr>
        <w:t>第二部分工程建设其他费用2197.19万元，占总投资的5.49%；</w:t>
      </w:r>
    </w:p>
    <w:p w14:paraId="7B8BE073">
      <w:pPr>
        <w:ind w:firstLine="560"/>
        <w:rPr>
          <w:rFonts w:hint="eastAsia" w:ascii="宋体" w:hAnsi="宋体" w:cs="宋体"/>
          <w:sz w:val="28"/>
          <w:szCs w:val="28"/>
        </w:rPr>
      </w:pPr>
      <w:r>
        <w:rPr>
          <w:rFonts w:hint="eastAsia" w:ascii="宋体" w:hAnsi="宋体" w:cs="宋体"/>
          <w:sz w:val="28"/>
          <w:szCs w:val="28"/>
        </w:rPr>
        <w:t>第三部分预备费1844.76万元，占总投资的4.61%；</w:t>
      </w:r>
    </w:p>
    <w:p w14:paraId="402EA8CB">
      <w:pPr>
        <w:pStyle w:val="13"/>
        <w:ind w:firstLine="560"/>
        <w:rPr>
          <w:rFonts w:hint="eastAsia" w:ascii="宋体" w:hAnsi="宋体" w:cs="宋体"/>
          <w:szCs w:val="28"/>
        </w:rPr>
      </w:pPr>
      <w:r>
        <w:rPr>
          <w:rFonts w:hint="eastAsia" w:ascii="宋体" w:hAnsi="宋体" w:cs="宋体"/>
          <w:szCs w:val="28"/>
        </w:rPr>
        <w:t>第四部分建设期利息1050.00万元。占总投资的2.63%。</w:t>
      </w:r>
    </w:p>
    <w:p w14:paraId="590E47E4">
      <w:pPr>
        <w:spacing w:line="560" w:lineRule="exact"/>
        <w:ind w:firstLine="643" w:firstLineChars="200"/>
        <w:rPr>
          <w:rFonts w:ascii="楷体_GB2312" w:eastAsia="楷体_GB2312"/>
          <w:b/>
          <w:color w:val="FF0000"/>
          <w:sz w:val="32"/>
          <w:szCs w:val="32"/>
        </w:rPr>
      </w:pPr>
      <w:r>
        <w:rPr>
          <w:rFonts w:hint="eastAsia" w:ascii="楷体_GB2312" w:eastAsia="楷体_GB2312"/>
          <w:b/>
          <w:sz w:val="32"/>
          <w:szCs w:val="32"/>
        </w:rPr>
        <w:t>（二）资金筹措方案</w:t>
      </w:r>
    </w:p>
    <w:p w14:paraId="13E8CEFF">
      <w:pPr>
        <w:pStyle w:val="13"/>
        <w:ind w:firstLine="643"/>
        <w:rPr>
          <w:rFonts w:ascii="仿宋_GB2312" w:eastAsia="仿宋_GB2312"/>
          <w:b/>
          <w:sz w:val="32"/>
          <w:szCs w:val="32"/>
        </w:rPr>
      </w:pPr>
      <w:r>
        <w:rPr>
          <w:rFonts w:hint="eastAsia" w:ascii="仿宋_GB2312" w:eastAsia="仿宋_GB2312"/>
          <w:b/>
          <w:sz w:val="32"/>
          <w:szCs w:val="32"/>
        </w:rPr>
        <w:t>1.</w:t>
      </w:r>
      <w:r>
        <w:rPr>
          <w:rFonts w:hint="eastAsia"/>
        </w:rPr>
        <w:t xml:space="preserve"> </w:t>
      </w:r>
      <w:r>
        <w:rPr>
          <w:rFonts w:hint="eastAsia" w:ascii="仿宋_GB2312" w:eastAsia="仿宋_GB2312"/>
          <w:b/>
          <w:sz w:val="32"/>
          <w:szCs w:val="32"/>
        </w:rPr>
        <w:t>资金筹集情况</w:t>
      </w:r>
    </w:p>
    <w:p w14:paraId="6559C5F4">
      <w:pPr>
        <w:ind w:firstLine="560"/>
        <w:rPr>
          <w:rFonts w:hint="eastAsia" w:ascii="宋体" w:hAnsi="宋体" w:cs="宋体"/>
          <w:sz w:val="28"/>
          <w:szCs w:val="28"/>
        </w:rPr>
      </w:pPr>
      <w:r>
        <w:rPr>
          <w:rFonts w:hint="eastAsia" w:ascii="宋体" w:hAnsi="宋体" w:cs="宋体"/>
          <w:sz w:val="28"/>
          <w:szCs w:val="28"/>
        </w:rPr>
        <w:t>本项目总投资40,000.00 万元，建设资金来源包括项目资本金及地方政府专项债券，其中：</w:t>
      </w:r>
    </w:p>
    <w:p w14:paraId="400C201F">
      <w:pPr>
        <w:ind w:firstLine="560"/>
        <w:rPr>
          <w:rFonts w:hint="eastAsia" w:ascii="宋体" w:hAnsi="宋体" w:cs="宋体"/>
          <w:sz w:val="28"/>
          <w:szCs w:val="28"/>
        </w:rPr>
      </w:pPr>
      <w:r>
        <w:rPr>
          <w:rFonts w:hint="eastAsia" w:ascii="宋体" w:hAnsi="宋体" w:cs="宋体"/>
          <w:sz w:val="28"/>
          <w:szCs w:val="28"/>
        </w:rPr>
        <w:t>(1)项目资本金：以财政资金作为项目资本金投入20,000.00万元，占资金来源比例50.00%。</w:t>
      </w:r>
    </w:p>
    <w:p w14:paraId="2C39101E">
      <w:pPr>
        <w:ind w:firstLine="560"/>
        <w:rPr>
          <w:rFonts w:hint="eastAsia" w:ascii="宋体" w:hAnsi="宋体" w:cs="宋体"/>
          <w:sz w:val="28"/>
          <w:szCs w:val="28"/>
        </w:rPr>
      </w:pPr>
      <w:r>
        <w:rPr>
          <w:rFonts w:hint="eastAsia" w:ascii="宋体" w:hAnsi="宋体" w:cs="宋体"/>
          <w:sz w:val="28"/>
          <w:szCs w:val="28"/>
        </w:rPr>
        <w:t>(2)申请地方政府专项债券融资：20,000.00万元，占资金来源比例50.00%。</w:t>
      </w:r>
    </w:p>
    <w:p w14:paraId="242C13FC">
      <w:pPr>
        <w:ind w:firstLine="560"/>
        <w:rPr>
          <w:rFonts w:hint="eastAsia" w:ascii="宋体" w:hAnsi="宋体" w:cs="宋体"/>
          <w:sz w:val="28"/>
          <w:szCs w:val="28"/>
        </w:rPr>
      </w:pPr>
      <w:r>
        <w:rPr>
          <w:rFonts w:hint="eastAsia" w:ascii="宋体" w:hAnsi="宋体" w:cs="宋体"/>
          <w:sz w:val="28"/>
          <w:szCs w:val="28"/>
        </w:rPr>
        <w:t>项目建设过程中，按照项目实施进度保证财政预算资金（资本金）及时足额到位。</w:t>
      </w:r>
    </w:p>
    <w:p w14:paraId="4A077028">
      <w:pPr>
        <w:spacing w:line="560" w:lineRule="exact"/>
        <w:ind w:firstLine="643" w:firstLineChars="200"/>
        <w:rPr>
          <w:rFonts w:ascii="仿宋_GB2312" w:eastAsia="仿宋_GB2312"/>
          <w:b/>
          <w:sz w:val="32"/>
          <w:szCs w:val="32"/>
        </w:rPr>
      </w:pPr>
      <w:r>
        <w:rPr>
          <w:rFonts w:hint="eastAsia" w:ascii="仿宋_GB2312" w:eastAsia="仿宋_GB2312"/>
          <w:b/>
          <w:sz w:val="32"/>
          <w:szCs w:val="32"/>
        </w:rPr>
        <w:t>2.资金使用计划</w:t>
      </w:r>
    </w:p>
    <w:p w14:paraId="1A667E8F">
      <w:pPr>
        <w:spacing w:line="560" w:lineRule="exact"/>
        <w:ind w:firstLine="560" w:firstLineChars="200"/>
        <w:rPr>
          <w:rFonts w:hint="eastAsia" w:ascii="宋体" w:hAnsi="宋体" w:cs="宋体"/>
          <w:sz w:val="28"/>
          <w:szCs w:val="28"/>
        </w:rPr>
      </w:pPr>
      <w:r>
        <w:rPr>
          <w:rFonts w:hint="eastAsia" w:ascii="宋体" w:hAnsi="宋体" w:cs="宋体"/>
          <w:sz w:val="28"/>
          <w:szCs w:val="28"/>
        </w:rPr>
        <w:t>本次项目自筹资本金和本次债券融资资金于2023年、2024年投入到项目工程建设工作中，在保证项目工程投资资金充足的情况下，充分利用且不浪费当年度专项债券融资额度。结合本项目建设计划，后续项目资金使用计划如下表所示：</w:t>
      </w:r>
    </w:p>
    <w:p w14:paraId="6911E720">
      <w:pPr>
        <w:spacing w:before="156" w:beforeLines="50" w:after="156" w:afterLines="50" w:line="360" w:lineRule="auto"/>
        <w:jc w:val="center"/>
        <w:rPr>
          <w:rFonts w:ascii="Arial Narrow" w:hAnsi="Arial Narrow" w:eastAsia="仿宋"/>
          <w:sz w:val="24"/>
        </w:rPr>
      </w:pPr>
      <w:r>
        <w:rPr>
          <w:rFonts w:hint="eastAsia" w:ascii="Arial Narrow" w:hAnsi="Arial Narrow" w:eastAsia="仿宋"/>
          <w:sz w:val="24"/>
        </w:rPr>
        <w:t>广安市武胜县龙女湖保障性安居住房建设项目资金使用计划表</w:t>
      </w:r>
    </w:p>
    <w:p w14:paraId="6EDC92C9">
      <w:pPr>
        <w:spacing w:before="156" w:beforeLines="50" w:after="156" w:afterLines="50" w:line="360" w:lineRule="auto"/>
        <w:jc w:val="right"/>
        <w:rPr>
          <w:rFonts w:ascii="Arial Narrow" w:hAnsi="Arial Narrow" w:eastAsia="仿宋"/>
          <w:sz w:val="24"/>
        </w:rPr>
      </w:pPr>
      <w:r>
        <w:rPr>
          <w:rFonts w:hint="eastAsia" w:ascii="Arial Narrow" w:hAnsi="Arial Narrow" w:eastAsia="仿宋"/>
          <w:sz w:val="24"/>
        </w:rPr>
        <w:t>单位：万元</w:t>
      </w:r>
    </w:p>
    <w:tbl>
      <w:tblPr>
        <w:tblStyle w:val="14"/>
        <w:tblW w:w="5923" w:type="dxa"/>
        <w:jc w:val="center"/>
        <w:tblLayout w:type="fixed"/>
        <w:tblCellMar>
          <w:top w:w="0" w:type="dxa"/>
          <w:left w:w="108" w:type="dxa"/>
          <w:bottom w:w="0" w:type="dxa"/>
          <w:right w:w="108" w:type="dxa"/>
        </w:tblCellMar>
      </w:tblPr>
      <w:tblGrid>
        <w:gridCol w:w="1553"/>
        <w:gridCol w:w="1290"/>
        <w:gridCol w:w="1200"/>
        <w:gridCol w:w="1880"/>
      </w:tblGrid>
      <w:tr w14:paraId="0EA69F2F">
        <w:tblPrEx>
          <w:tblCellMar>
            <w:top w:w="0" w:type="dxa"/>
            <w:left w:w="108" w:type="dxa"/>
            <w:bottom w:w="0" w:type="dxa"/>
            <w:right w:w="108" w:type="dxa"/>
          </w:tblCellMar>
        </w:tblPrEx>
        <w:trPr>
          <w:trHeight w:val="340" w:hRule="atLeast"/>
          <w:jc w:val="center"/>
        </w:trPr>
        <w:tc>
          <w:tcPr>
            <w:tcW w:w="1553" w:type="dxa"/>
            <w:vMerge w:val="restart"/>
            <w:tcBorders>
              <w:top w:val="single" w:color="000000" w:sz="12" w:space="0"/>
              <w:left w:val="nil"/>
              <w:bottom w:val="dotted" w:color="000000" w:sz="4" w:space="0"/>
              <w:right w:val="dotted" w:color="000000" w:sz="4" w:space="0"/>
            </w:tcBorders>
            <w:shd w:val="clear" w:color="auto" w:fill="auto"/>
            <w:noWrap/>
            <w:vAlign w:val="bottom"/>
          </w:tcPr>
          <w:p w14:paraId="1EF812E5">
            <w:pPr>
              <w:widowControl/>
              <w:jc w:val="center"/>
              <w:textAlignment w:val="bottom"/>
              <w:rPr>
                <w:rFonts w:hint="eastAsia" w:ascii="宋体" w:hAnsi="宋体" w:cs="宋体"/>
                <w:color w:val="000000"/>
                <w:sz w:val="22"/>
              </w:rPr>
            </w:pPr>
            <w:r>
              <w:rPr>
                <w:rFonts w:hint="eastAsia" w:ascii="宋体" w:hAnsi="宋体" w:cs="宋体"/>
                <w:color w:val="000000"/>
                <w:kern w:val="0"/>
                <w:sz w:val="22"/>
                <w:lang w:bidi="ar"/>
              </w:rPr>
              <w:t>项目</w:t>
            </w:r>
          </w:p>
        </w:tc>
        <w:tc>
          <w:tcPr>
            <w:tcW w:w="1290" w:type="dxa"/>
            <w:vMerge w:val="restart"/>
            <w:tcBorders>
              <w:top w:val="single" w:color="000000" w:sz="12" w:space="0"/>
              <w:left w:val="dotted" w:color="000000" w:sz="4" w:space="0"/>
              <w:bottom w:val="dotted" w:color="000000" w:sz="4" w:space="0"/>
              <w:right w:val="dotted" w:color="000000" w:sz="4" w:space="0"/>
            </w:tcBorders>
            <w:shd w:val="clear" w:color="auto" w:fill="auto"/>
            <w:noWrap/>
            <w:vAlign w:val="bottom"/>
          </w:tcPr>
          <w:p w14:paraId="2DF9A7FF">
            <w:pPr>
              <w:widowControl/>
              <w:jc w:val="center"/>
              <w:textAlignment w:val="bottom"/>
              <w:rPr>
                <w:rFonts w:hint="eastAsia" w:ascii="宋体" w:hAnsi="宋体" w:cs="宋体"/>
                <w:color w:val="000000"/>
                <w:sz w:val="22"/>
              </w:rPr>
            </w:pPr>
            <w:r>
              <w:rPr>
                <w:rFonts w:hint="eastAsia" w:ascii="宋体" w:hAnsi="宋体" w:cs="宋体"/>
                <w:color w:val="000000"/>
                <w:kern w:val="0"/>
                <w:sz w:val="22"/>
                <w:lang w:bidi="ar"/>
              </w:rPr>
              <w:t>合计</w:t>
            </w:r>
          </w:p>
        </w:tc>
        <w:tc>
          <w:tcPr>
            <w:tcW w:w="3080" w:type="dxa"/>
            <w:gridSpan w:val="2"/>
            <w:tcBorders>
              <w:top w:val="single" w:color="000000" w:sz="12" w:space="0"/>
              <w:left w:val="dotted" w:color="000000" w:sz="4" w:space="0"/>
              <w:bottom w:val="dotted" w:color="000000" w:sz="4" w:space="0"/>
              <w:right w:val="nil"/>
            </w:tcBorders>
            <w:shd w:val="clear" w:color="auto" w:fill="auto"/>
            <w:noWrap/>
            <w:vAlign w:val="bottom"/>
          </w:tcPr>
          <w:p w14:paraId="5DAE9C14">
            <w:pPr>
              <w:widowControl/>
              <w:jc w:val="center"/>
              <w:textAlignment w:val="bottom"/>
              <w:rPr>
                <w:rFonts w:hint="eastAsia" w:ascii="宋体" w:hAnsi="宋体" w:cs="宋体"/>
                <w:color w:val="000000"/>
                <w:sz w:val="22"/>
              </w:rPr>
            </w:pPr>
            <w:r>
              <w:rPr>
                <w:rFonts w:hint="eastAsia" w:ascii="宋体" w:hAnsi="宋体" w:cs="宋体"/>
                <w:color w:val="000000"/>
                <w:kern w:val="0"/>
                <w:sz w:val="22"/>
                <w:lang w:bidi="ar"/>
              </w:rPr>
              <w:t>计算期（年）</w:t>
            </w:r>
          </w:p>
        </w:tc>
      </w:tr>
      <w:tr w14:paraId="75A1F670">
        <w:tblPrEx>
          <w:tblCellMar>
            <w:top w:w="0" w:type="dxa"/>
            <w:left w:w="108" w:type="dxa"/>
            <w:bottom w:w="0" w:type="dxa"/>
            <w:right w:w="108" w:type="dxa"/>
          </w:tblCellMar>
        </w:tblPrEx>
        <w:trPr>
          <w:trHeight w:val="295" w:hRule="atLeast"/>
          <w:jc w:val="center"/>
        </w:trPr>
        <w:tc>
          <w:tcPr>
            <w:tcW w:w="1553" w:type="dxa"/>
            <w:vMerge w:val="continue"/>
            <w:tcBorders>
              <w:top w:val="single" w:color="000000" w:sz="12" w:space="0"/>
              <w:left w:val="nil"/>
              <w:bottom w:val="dotted" w:color="000000" w:sz="4" w:space="0"/>
              <w:right w:val="dotted" w:color="000000" w:sz="4" w:space="0"/>
            </w:tcBorders>
            <w:shd w:val="clear" w:color="auto" w:fill="auto"/>
            <w:noWrap/>
            <w:vAlign w:val="bottom"/>
          </w:tcPr>
          <w:p w14:paraId="2935817A">
            <w:pPr>
              <w:jc w:val="center"/>
              <w:rPr>
                <w:rFonts w:hint="eastAsia" w:ascii="宋体" w:hAnsi="宋体" w:cs="宋体"/>
                <w:color w:val="000000"/>
                <w:sz w:val="22"/>
              </w:rPr>
            </w:pPr>
          </w:p>
        </w:tc>
        <w:tc>
          <w:tcPr>
            <w:tcW w:w="1290" w:type="dxa"/>
            <w:vMerge w:val="continue"/>
            <w:tcBorders>
              <w:top w:val="single" w:color="000000" w:sz="12" w:space="0"/>
              <w:left w:val="dotted" w:color="000000" w:sz="4" w:space="0"/>
              <w:bottom w:val="dotted" w:color="000000" w:sz="4" w:space="0"/>
              <w:right w:val="dotted" w:color="000000" w:sz="4" w:space="0"/>
            </w:tcBorders>
            <w:shd w:val="clear" w:color="auto" w:fill="auto"/>
            <w:noWrap/>
            <w:vAlign w:val="bottom"/>
          </w:tcPr>
          <w:p w14:paraId="04B4F007">
            <w:pPr>
              <w:jc w:val="center"/>
              <w:rPr>
                <w:rFonts w:hint="eastAsia" w:ascii="宋体" w:hAnsi="宋体" w:cs="宋体"/>
                <w:color w:val="000000"/>
                <w:sz w:val="22"/>
              </w:rPr>
            </w:pPr>
          </w:p>
        </w:tc>
        <w:tc>
          <w:tcPr>
            <w:tcW w:w="120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2C68F3B1">
            <w:pPr>
              <w:widowControl/>
              <w:jc w:val="center"/>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2023</w:t>
            </w:r>
            <w:r>
              <w:rPr>
                <w:rFonts w:hint="eastAsia" w:ascii="宋体" w:hAnsi="宋体" w:cs="宋体"/>
                <w:color w:val="000000"/>
                <w:kern w:val="0"/>
                <w:sz w:val="22"/>
                <w:lang w:bidi="ar"/>
              </w:rPr>
              <w:t>年</w:t>
            </w:r>
          </w:p>
        </w:tc>
        <w:tc>
          <w:tcPr>
            <w:tcW w:w="188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51599B27">
            <w:pPr>
              <w:widowControl/>
              <w:jc w:val="center"/>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2024</w:t>
            </w:r>
            <w:r>
              <w:rPr>
                <w:rFonts w:hint="eastAsia" w:ascii="宋体" w:hAnsi="宋体" w:cs="宋体"/>
                <w:color w:val="000000"/>
                <w:kern w:val="0"/>
                <w:sz w:val="22"/>
                <w:lang w:bidi="ar"/>
              </w:rPr>
              <w:t>年</w:t>
            </w:r>
          </w:p>
        </w:tc>
      </w:tr>
      <w:tr w14:paraId="1169D241">
        <w:tblPrEx>
          <w:tblCellMar>
            <w:top w:w="0" w:type="dxa"/>
            <w:left w:w="108" w:type="dxa"/>
            <w:bottom w:w="0" w:type="dxa"/>
            <w:right w:w="108" w:type="dxa"/>
          </w:tblCellMar>
        </w:tblPrEx>
        <w:trPr>
          <w:trHeight w:val="280" w:hRule="atLeast"/>
          <w:jc w:val="center"/>
        </w:trPr>
        <w:tc>
          <w:tcPr>
            <w:tcW w:w="1553" w:type="dxa"/>
            <w:tcBorders>
              <w:top w:val="dotted" w:color="000000" w:sz="4" w:space="0"/>
              <w:left w:val="nil"/>
              <w:bottom w:val="dotted" w:color="000000" w:sz="4" w:space="0"/>
              <w:right w:val="dotted" w:color="000000" w:sz="4" w:space="0"/>
            </w:tcBorders>
            <w:shd w:val="clear" w:color="auto" w:fill="auto"/>
            <w:noWrap/>
            <w:vAlign w:val="bottom"/>
          </w:tcPr>
          <w:p w14:paraId="61782DA2">
            <w:pPr>
              <w:widowControl/>
              <w:jc w:val="center"/>
              <w:textAlignment w:val="bottom"/>
              <w:rPr>
                <w:rFonts w:hint="eastAsia" w:ascii="宋体" w:hAnsi="宋体" w:cs="宋体"/>
                <w:color w:val="000000"/>
                <w:sz w:val="22"/>
              </w:rPr>
            </w:pPr>
            <w:r>
              <w:rPr>
                <w:rFonts w:hint="eastAsia" w:ascii="宋体" w:hAnsi="宋体" w:cs="宋体"/>
                <w:color w:val="000000"/>
                <w:kern w:val="0"/>
                <w:sz w:val="22"/>
                <w:lang w:bidi="ar"/>
              </w:rPr>
              <w:t>资本金</w:t>
            </w:r>
          </w:p>
        </w:tc>
        <w:tc>
          <w:tcPr>
            <w:tcW w:w="129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5A7B7EEF">
            <w:pPr>
              <w:widowControl/>
              <w:jc w:val="right"/>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20,000.00</w:t>
            </w:r>
          </w:p>
        </w:tc>
        <w:tc>
          <w:tcPr>
            <w:tcW w:w="120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4EC183EB">
            <w:pPr>
              <w:widowControl/>
              <w:jc w:val="right"/>
              <w:textAlignment w:val="bottom"/>
              <w:rPr>
                <w:rFonts w:ascii="Arial" w:hAnsi="Arial" w:cs="Arial"/>
                <w:color w:val="000000"/>
                <w:sz w:val="20"/>
                <w:szCs w:val="20"/>
              </w:rPr>
            </w:pPr>
            <w:r>
              <w:rPr>
                <w:rFonts w:ascii="Arial" w:hAnsi="Arial" w:cs="Arial"/>
                <w:color w:val="000000"/>
                <w:kern w:val="0"/>
                <w:sz w:val="20"/>
                <w:szCs w:val="20"/>
                <w:lang w:bidi="ar"/>
              </w:rPr>
              <w:t>7,753.00</w:t>
            </w:r>
          </w:p>
        </w:tc>
        <w:tc>
          <w:tcPr>
            <w:tcW w:w="188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70EEBA31">
            <w:pPr>
              <w:widowControl/>
              <w:jc w:val="right"/>
              <w:textAlignment w:val="bottom"/>
              <w:rPr>
                <w:rFonts w:ascii="Arial" w:hAnsi="Arial" w:cs="Arial"/>
                <w:color w:val="000000"/>
                <w:sz w:val="20"/>
                <w:szCs w:val="20"/>
              </w:rPr>
            </w:pPr>
            <w:r>
              <w:rPr>
                <w:rFonts w:ascii="Arial" w:hAnsi="Arial" w:cs="Arial"/>
                <w:color w:val="000000"/>
                <w:kern w:val="0"/>
                <w:sz w:val="20"/>
                <w:szCs w:val="20"/>
                <w:lang w:bidi="ar"/>
              </w:rPr>
              <w:t>12,247.00</w:t>
            </w:r>
          </w:p>
        </w:tc>
      </w:tr>
      <w:tr w14:paraId="78912953">
        <w:tblPrEx>
          <w:tblCellMar>
            <w:top w:w="0" w:type="dxa"/>
            <w:left w:w="108" w:type="dxa"/>
            <w:bottom w:w="0" w:type="dxa"/>
            <w:right w:w="108" w:type="dxa"/>
          </w:tblCellMar>
        </w:tblPrEx>
        <w:trPr>
          <w:trHeight w:val="280" w:hRule="atLeast"/>
          <w:jc w:val="center"/>
        </w:trPr>
        <w:tc>
          <w:tcPr>
            <w:tcW w:w="1553" w:type="dxa"/>
            <w:tcBorders>
              <w:top w:val="dotted" w:color="000000" w:sz="4" w:space="0"/>
              <w:left w:val="nil"/>
              <w:bottom w:val="dotted" w:color="000000" w:sz="4" w:space="0"/>
              <w:right w:val="dotted" w:color="000000" w:sz="4" w:space="0"/>
            </w:tcBorders>
            <w:shd w:val="clear" w:color="auto" w:fill="auto"/>
            <w:noWrap/>
            <w:vAlign w:val="bottom"/>
          </w:tcPr>
          <w:p w14:paraId="23B3C32F">
            <w:pPr>
              <w:widowControl/>
              <w:jc w:val="center"/>
              <w:textAlignment w:val="bottom"/>
              <w:rPr>
                <w:rFonts w:hint="eastAsia" w:ascii="宋体" w:hAnsi="宋体" w:cs="宋体"/>
                <w:color w:val="000000"/>
                <w:sz w:val="22"/>
              </w:rPr>
            </w:pPr>
            <w:r>
              <w:rPr>
                <w:rFonts w:hint="eastAsia" w:ascii="宋体" w:hAnsi="宋体" w:cs="宋体"/>
                <w:color w:val="000000"/>
                <w:kern w:val="0"/>
                <w:sz w:val="22"/>
                <w:lang w:bidi="ar"/>
              </w:rPr>
              <w:t>专项债</w:t>
            </w:r>
          </w:p>
        </w:tc>
        <w:tc>
          <w:tcPr>
            <w:tcW w:w="129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4253A50F">
            <w:pPr>
              <w:widowControl/>
              <w:jc w:val="right"/>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20,000.00</w:t>
            </w:r>
          </w:p>
        </w:tc>
        <w:tc>
          <w:tcPr>
            <w:tcW w:w="120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1DF01920">
            <w:pPr>
              <w:widowControl/>
              <w:jc w:val="right"/>
              <w:textAlignment w:val="bottom"/>
              <w:rPr>
                <w:rFonts w:ascii="Arial" w:hAnsi="Arial" w:cs="Arial"/>
                <w:color w:val="000000"/>
                <w:sz w:val="20"/>
                <w:szCs w:val="20"/>
              </w:rPr>
            </w:pPr>
            <w:r>
              <w:rPr>
                <w:rFonts w:ascii="Arial" w:hAnsi="Arial" w:cs="Arial"/>
                <w:color w:val="000000"/>
                <w:kern w:val="0"/>
                <w:sz w:val="20"/>
                <w:szCs w:val="20"/>
                <w:lang w:bidi="ar"/>
              </w:rPr>
              <w:t>10,000.00</w:t>
            </w:r>
          </w:p>
        </w:tc>
        <w:tc>
          <w:tcPr>
            <w:tcW w:w="1880" w:type="dxa"/>
            <w:tcBorders>
              <w:top w:val="dotted" w:color="000000" w:sz="4" w:space="0"/>
              <w:left w:val="dotted" w:color="000000" w:sz="4" w:space="0"/>
              <w:bottom w:val="dotted" w:color="000000" w:sz="4" w:space="0"/>
              <w:right w:val="dotted" w:color="000000" w:sz="4" w:space="0"/>
            </w:tcBorders>
            <w:shd w:val="clear" w:color="auto" w:fill="auto"/>
            <w:noWrap/>
            <w:vAlign w:val="bottom"/>
          </w:tcPr>
          <w:p w14:paraId="1F00B0F3">
            <w:pPr>
              <w:widowControl/>
              <w:jc w:val="right"/>
              <w:textAlignment w:val="bottom"/>
              <w:rPr>
                <w:rFonts w:ascii="Arial" w:hAnsi="Arial" w:cs="Arial"/>
                <w:color w:val="000000"/>
                <w:sz w:val="20"/>
                <w:szCs w:val="20"/>
              </w:rPr>
            </w:pPr>
            <w:r>
              <w:rPr>
                <w:rFonts w:ascii="Arial" w:hAnsi="Arial" w:cs="Arial"/>
                <w:color w:val="000000"/>
                <w:kern w:val="0"/>
                <w:sz w:val="20"/>
                <w:szCs w:val="20"/>
                <w:lang w:bidi="ar"/>
              </w:rPr>
              <w:t>10,000.00</w:t>
            </w:r>
          </w:p>
        </w:tc>
      </w:tr>
      <w:tr w14:paraId="63CCA48C">
        <w:tblPrEx>
          <w:tblCellMar>
            <w:top w:w="0" w:type="dxa"/>
            <w:left w:w="108" w:type="dxa"/>
            <w:bottom w:w="0" w:type="dxa"/>
            <w:right w:w="108" w:type="dxa"/>
          </w:tblCellMar>
        </w:tblPrEx>
        <w:trPr>
          <w:trHeight w:val="295" w:hRule="atLeast"/>
          <w:jc w:val="center"/>
        </w:trPr>
        <w:tc>
          <w:tcPr>
            <w:tcW w:w="1553" w:type="dxa"/>
            <w:tcBorders>
              <w:top w:val="dotted" w:color="000000" w:sz="4" w:space="0"/>
              <w:left w:val="nil"/>
              <w:bottom w:val="single" w:color="000000" w:sz="12" w:space="0"/>
              <w:right w:val="dotted" w:color="000000" w:sz="4" w:space="0"/>
            </w:tcBorders>
            <w:shd w:val="clear" w:color="auto" w:fill="auto"/>
            <w:noWrap/>
            <w:vAlign w:val="bottom"/>
          </w:tcPr>
          <w:p w14:paraId="73EB4731">
            <w:pPr>
              <w:widowControl/>
              <w:jc w:val="center"/>
              <w:textAlignment w:val="bottom"/>
              <w:rPr>
                <w:rFonts w:hint="eastAsia" w:ascii="宋体" w:hAnsi="宋体" w:cs="宋体"/>
                <w:color w:val="000000"/>
                <w:sz w:val="22"/>
              </w:rPr>
            </w:pPr>
            <w:r>
              <w:rPr>
                <w:rFonts w:hint="eastAsia" w:ascii="宋体" w:hAnsi="宋体" w:cs="宋体"/>
                <w:color w:val="000000"/>
                <w:kern w:val="0"/>
                <w:sz w:val="22"/>
                <w:lang w:bidi="ar"/>
              </w:rPr>
              <w:t>合计</w:t>
            </w:r>
          </w:p>
        </w:tc>
        <w:tc>
          <w:tcPr>
            <w:tcW w:w="1290" w:type="dxa"/>
            <w:tcBorders>
              <w:top w:val="dotted" w:color="000000" w:sz="4" w:space="0"/>
              <w:left w:val="dotted" w:color="000000" w:sz="4" w:space="0"/>
              <w:bottom w:val="single" w:color="000000" w:sz="12" w:space="0"/>
              <w:right w:val="dotted" w:color="000000" w:sz="4" w:space="0"/>
            </w:tcBorders>
            <w:shd w:val="clear" w:color="auto" w:fill="auto"/>
            <w:noWrap/>
            <w:vAlign w:val="bottom"/>
          </w:tcPr>
          <w:p w14:paraId="24170E53">
            <w:pPr>
              <w:widowControl/>
              <w:jc w:val="right"/>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40,000.00</w:t>
            </w:r>
          </w:p>
        </w:tc>
        <w:tc>
          <w:tcPr>
            <w:tcW w:w="1200" w:type="dxa"/>
            <w:tcBorders>
              <w:top w:val="dotted" w:color="000000" w:sz="4" w:space="0"/>
              <w:left w:val="dotted" w:color="000000" w:sz="4" w:space="0"/>
              <w:bottom w:val="single" w:color="000000" w:sz="12" w:space="0"/>
              <w:right w:val="dotted" w:color="000000" w:sz="4" w:space="0"/>
            </w:tcBorders>
            <w:shd w:val="clear" w:color="auto" w:fill="auto"/>
            <w:noWrap/>
            <w:vAlign w:val="bottom"/>
          </w:tcPr>
          <w:p w14:paraId="238D52CE">
            <w:pPr>
              <w:widowControl/>
              <w:jc w:val="right"/>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17,753.00</w:t>
            </w:r>
          </w:p>
        </w:tc>
        <w:tc>
          <w:tcPr>
            <w:tcW w:w="1880" w:type="dxa"/>
            <w:tcBorders>
              <w:top w:val="dotted" w:color="000000" w:sz="4" w:space="0"/>
              <w:left w:val="dotted" w:color="000000" w:sz="4" w:space="0"/>
              <w:bottom w:val="single" w:color="000000" w:sz="12" w:space="0"/>
              <w:right w:val="dotted" w:color="000000" w:sz="4" w:space="0"/>
            </w:tcBorders>
            <w:shd w:val="clear" w:color="auto" w:fill="auto"/>
            <w:noWrap/>
            <w:vAlign w:val="bottom"/>
          </w:tcPr>
          <w:p w14:paraId="7FAE7BB4">
            <w:pPr>
              <w:widowControl/>
              <w:jc w:val="right"/>
              <w:textAlignment w:val="bottom"/>
              <w:rPr>
                <w:rFonts w:ascii="Arial Narrow" w:hAnsi="Arial Narrow" w:eastAsia="Arial Narrow" w:cs="Arial Narrow"/>
                <w:color w:val="000000"/>
                <w:sz w:val="22"/>
              </w:rPr>
            </w:pPr>
            <w:r>
              <w:rPr>
                <w:rFonts w:ascii="Arial Narrow" w:hAnsi="Arial Narrow" w:eastAsia="Arial Narrow" w:cs="Arial Narrow"/>
                <w:color w:val="000000"/>
                <w:kern w:val="0"/>
                <w:sz w:val="22"/>
                <w:lang w:bidi="ar"/>
              </w:rPr>
              <w:t>22,247.00</w:t>
            </w:r>
          </w:p>
        </w:tc>
      </w:tr>
    </w:tbl>
    <w:p w14:paraId="3CD167F3">
      <w:pPr>
        <w:pStyle w:val="3"/>
      </w:pPr>
    </w:p>
    <w:p w14:paraId="488DADFE">
      <w:pPr>
        <w:spacing w:line="560" w:lineRule="exact"/>
        <w:ind w:firstLine="640" w:firstLineChars="200"/>
        <w:rPr>
          <w:rFonts w:hint="eastAsia" w:ascii="黑体" w:hAnsi="黑体" w:eastAsia="黑体"/>
          <w:sz w:val="32"/>
          <w:szCs w:val="32"/>
        </w:rPr>
      </w:pPr>
      <w:r>
        <w:rPr>
          <w:rFonts w:hint="eastAsia" w:ascii="黑体" w:hAnsi="黑体" w:eastAsia="黑体"/>
          <w:sz w:val="32"/>
          <w:szCs w:val="32"/>
        </w:rPr>
        <w:t>四、项目预期收益、成本及融资平衡情况</w:t>
      </w:r>
    </w:p>
    <w:p w14:paraId="7E58C582">
      <w:pPr>
        <w:spacing w:line="560" w:lineRule="exact"/>
        <w:ind w:firstLine="643" w:firstLineChars="200"/>
        <w:rPr>
          <w:rFonts w:ascii="楷体_GB2312" w:eastAsia="楷体_GB2312"/>
          <w:b/>
          <w:sz w:val="32"/>
          <w:szCs w:val="32"/>
        </w:rPr>
      </w:pPr>
      <w:r>
        <w:rPr>
          <w:rFonts w:hint="eastAsia" w:ascii="楷体_GB2312" w:eastAsia="楷体_GB2312"/>
          <w:b/>
          <w:sz w:val="32"/>
          <w:szCs w:val="32"/>
        </w:rPr>
        <w:t>（一）预期收益</w:t>
      </w:r>
    </w:p>
    <w:p w14:paraId="2E9DFD12">
      <w:pPr>
        <w:spacing w:line="560" w:lineRule="exact"/>
        <w:ind w:firstLine="562" w:firstLineChars="200"/>
        <w:rPr>
          <w:rFonts w:hint="eastAsia" w:ascii="宋体" w:hAnsi="宋体" w:cs="宋体"/>
          <w:b/>
          <w:sz w:val="28"/>
          <w:szCs w:val="28"/>
        </w:rPr>
      </w:pPr>
      <w:r>
        <w:rPr>
          <w:rFonts w:hint="eastAsia" w:ascii="宋体" w:hAnsi="宋体" w:cs="宋体"/>
          <w:b/>
          <w:sz w:val="28"/>
          <w:szCs w:val="28"/>
        </w:rPr>
        <w:t>1.项目收入</w:t>
      </w:r>
    </w:p>
    <w:p w14:paraId="7E02644A">
      <w:pPr>
        <w:ind w:firstLine="560" w:firstLineChars="200"/>
        <w:rPr>
          <w:rFonts w:hint="eastAsia" w:ascii="宋体" w:hAnsi="宋体" w:cs="宋体"/>
          <w:sz w:val="28"/>
          <w:szCs w:val="28"/>
        </w:rPr>
      </w:pPr>
      <w:r>
        <w:rPr>
          <w:rFonts w:hint="eastAsia" w:ascii="宋体" w:hAnsi="宋体" w:cs="宋体"/>
          <w:sz w:val="28"/>
          <w:szCs w:val="28"/>
        </w:rPr>
        <w:t>本项目为公益性项目。项目收入来源武胜县龙女湖保障性安居住房建设项目充电桩收入、配套用房出租收入、配套用房出售收入、停车位出租收入、停车位出售收入、物业收入。债券发行期，项目运营约9年，总收入合计为44,552.76万元。</w:t>
      </w:r>
    </w:p>
    <w:p w14:paraId="3CCE7966">
      <w:pPr>
        <w:pStyle w:val="13"/>
        <w:ind w:firstLine="562"/>
        <w:rPr>
          <w:rFonts w:hint="eastAsia" w:ascii="宋体" w:hAnsi="宋体" w:cs="宋体"/>
          <w:b/>
          <w:bCs/>
          <w:szCs w:val="28"/>
        </w:rPr>
      </w:pPr>
      <w:r>
        <w:rPr>
          <w:rFonts w:hint="eastAsia" w:ascii="宋体" w:hAnsi="宋体" w:cs="宋体"/>
          <w:b/>
          <w:bCs/>
          <w:szCs w:val="28"/>
        </w:rPr>
        <w:t>（1）配套用房出租收入</w:t>
      </w:r>
    </w:p>
    <w:p w14:paraId="5814041D">
      <w:pPr>
        <w:pStyle w:val="13"/>
        <w:ind w:firstLine="560"/>
        <w:rPr>
          <w:rFonts w:hint="eastAsia" w:ascii="宋体" w:hAnsi="宋体" w:cs="宋体"/>
          <w:szCs w:val="28"/>
        </w:rPr>
      </w:pPr>
      <w:r>
        <w:rPr>
          <w:rFonts w:hint="eastAsia" w:ascii="宋体" w:hAnsi="宋体" w:cs="宋体"/>
          <w:szCs w:val="28"/>
        </w:rPr>
        <w:t>本项目建设住宅底层生活配套用房2376.05平方米，配套其他附属用房19050平方米，可用于出租出售面积 21,426.05㎡。出租价格参照广安市地区近期网上公开挂出的平均价格下浮2%按60.00元/㎡/月取整计算。根据调查同类配套用房市场出租情况，第一年出租率约为70.00%，之后逐年增加10.00%直至90.00%保持稳定不变。根据本项目运营计划，政府拟在专项债的第7年、第8年、第9年将房屋分批出售，分批将配套用房的25.00%、30.00%以及45.00%出售。配套用房出租收入=未出售面积×单价×12月×出租率。运营期收入共计8,746.56 万元。</w:t>
      </w:r>
    </w:p>
    <w:p w14:paraId="12EEA002">
      <w:pPr>
        <w:pStyle w:val="13"/>
        <w:ind w:firstLine="562"/>
        <w:rPr>
          <w:rFonts w:hint="eastAsia" w:ascii="宋体" w:hAnsi="宋体" w:cs="宋体"/>
          <w:b/>
          <w:bCs/>
          <w:szCs w:val="28"/>
        </w:rPr>
      </w:pPr>
      <w:r>
        <w:rPr>
          <w:rFonts w:hint="eastAsia" w:ascii="宋体" w:hAnsi="宋体" w:cs="宋体"/>
          <w:b/>
          <w:bCs/>
          <w:szCs w:val="28"/>
        </w:rPr>
        <w:t>（2）停车位出租收入</w:t>
      </w:r>
    </w:p>
    <w:p w14:paraId="677D2D8A">
      <w:pPr>
        <w:pStyle w:val="13"/>
        <w:ind w:firstLine="560"/>
        <w:rPr>
          <w:rFonts w:hint="eastAsia" w:ascii="宋体" w:hAnsi="宋体" w:cs="宋体"/>
          <w:szCs w:val="28"/>
        </w:rPr>
      </w:pPr>
      <w:r>
        <w:rPr>
          <w:rFonts w:hint="eastAsia" w:ascii="宋体" w:hAnsi="宋体" w:cs="宋体"/>
          <w:szCs w:val="28"/>
        </w:rPr>
        <w:t>本项目建设地下停车场1,801.59㎡，规划机动车停车位904个。出租价格参照广安地区近期网上公开挂出的停车位平均价格（210元/月/个）计算。根据市场调查同类停车位出租情况，第一年出租率约为40.00%，之后逐年增加20.00%直至80.00%保持稳定不变。根据本项目运营计划，政府拟在运营期的第7年、第8年、第9年分别将停车位的20.00%、30.00%以及40.00%出售。停车位出租收入=未出售的车位数量×出租价格×12月×出租率。运营期收入共计1,233.17万元。</w:t>
      </w:r>
    </w:p>
    <w:p w14:paraId="4848E58B">
      <w:pPr>
        <w:pStyle w:val="12"/>
        <w:ind w:firstLine="280"/>
        <w:rPr>
          <w:rFonts w:hint="eastAsia" w:ascii="宋体" w:hAnsi="宋体"/>
          <w:sz w:val="28"/>
          <w:szCs w:val="28"/>
          <w:lang w:val="en-US" w:bidi="ar-SA"/>
        </w:rPr>
      </w:pPr>
    </w:p>
    <w:p w14:paraId="2F9ADA3E">
      <w:pPr>
        <w:pStyle w:val="2"/>
        <w:rPr>
          <w:rFonts w:hint="eastAsia"/>
          <w:lang w:val="en-US"/>
        </w:rPr>
      </w:pPr>
    </w:p>
    <w:p w14:paraId="62B340B5">
      <w:pPr>
        <w:pStyle w:val="13"/>
        <w:numPr>
          <w:ilvl w:val="0"/>
          <w:numId w:val="2"/>
        </w:numPr>
        <w:ind w:firstLine="562"/>
        <w:rPr>
          <w:rFonts w:hint="eastAsia" w:ascii="宋体" w:hAnsi="宋体" w:cs="宋体"/>
          <w:b/>
          <w:bCs/>
          <w:szCs w:val="28"/>
        </w:rPr>
      </w:pPr>
      <w:r>
        <w:rPr>
          <w:rFonts w:hint="eastAsia" w:ascii="宋体" w:hAnsi="宋体" w:cs="宋体"/>
          <w:b/>
          <w:bCs/>
          <w:szCs w:val="28"/>
        </w:rPr>
        <w:t>配套用房出售收入</w:t>
      </w:r>
    </w:p>
    <w:p w14:paraId="11C644D6">
      <w:pPr>
        <w:pStyle w:val="13"/>
        <w:ind w:firstLine="560"/>
        <w:rPr>
          <w:rFonts w:hint="eastAsia" w:ascii="宋体" w:hAnsi="宋体" w:cs="宋体"/>
          <w:szCs w:val="28"/>
        </w:rPr>
      </w:pPr>
      <w:r>
        <w:rPr>
          <w:rFonts w:hint="eastAsia" w:ascii="宋体" w:hAnsi="宋体" w:cs="宋体"/>
          <w:szCs w:val="28"/>
        </w:rPr>
        <w:t>根据业主提供的资料以及结合项目用地情况进行测算，出售价格参照广安地区近期网上公开挂出的出售平均价格（8,575.31元/㎡）计算。根据本项目运营计划，政府拟在运营期的第7年、8年、9年将配套用房分批进行出售，出售面积分别为20%、25%、30%。配套用房出售收入=出售面积×单价。运营期收入共计16,856.42万元。</w:t>
      </w:r>
    </w:p>
    <w:p w14:paraId="7E4B7A7D">
      <w:pPr>
        <w:pStyle w:val="13"/>
        <w:numPr>
          <w:ilvl w:val="0"/>
          <w:numId w:val="2"/>
        </w:numPr>
        <w:ind w:firstLine="562"/>
        <w:rPr>
          <w:rFonts w:hint="eastAsia" w:ascii="宋体" w:hAnsi="宋体" w:cs="宋体"/>
          <w:b/>
          <w:bCs/>
          <w:szCs w:val="28"/>
        </w:rPr>
      </w:pPr>
      <w:r>
        <w:rPr>
          <w:rFonts w:hint="eastAsia" w:ascii="宋体" w:hAnsi="宋体" w:cs="宋体"/>
          <w:b/>
          <w:bCs/>
          <w:szCs w:val="28"/>
        </w:rPr>
        <w:t>停车位出售收入</w:t>
      </w:r>
    </w:p>
    <w:p w14:paraId="30A708D1">
      <w:pPr>
        <w:pStyle w:val="13"/>
        <w:ind w:firstLine="560"/>
        <w:rPr>
          <w:rFonts w:hint="eastAsia" w:ascii="宋体" w:hAnsi="宋体" w:cs="宋体"/>
          <w:szCs w:val="28"/>
        </w:rPr>
      </w:pPr>
      <w:r>
        <w:rPr>
          <w:rFonts w:hint="eastAsia" w:ascii="宋体" w:hAnsi="宋体" w:cs="宋体"/>
          <w:szCs w:val="28"/>
        </w:rPr>
        <w:t>根据本项目运营计划，政府拟在运营期的第7年、第8年、第9年分别将停车位的20.00%、30.00%以及40.00%出售。出售价格基数按广安地区近期网上公开挂出的停车位的平均价格65,000.00元/个计算。停车位出售收入=出售车位数量×单价。运营期收入共计4,842.20万元。</w:t>
      </w:r>
    </w:p>
    <w:p w14:paraId="130A1A10">
      <w:pPr>
        <w:pStyle w:val="13"/>
        <w:numPr>
          <w:ilvl w:val="0"/>
          <w:numId w:val="2"/>
        </w:numPr>
        <w:ind w:firstLine="562"/>
        <w:rPr>
          <w:rFonts w:hint="eastAsia" w:ascii="宋体" w:hAnsi="宋体" w:cs="宋体"/>
          <w:b/>
          <w:bCs/>
          <w:szCs w:val="28"/>
        </w:rPr>
      </w:pPr>
      <w:r>
        <w:rPr>
          <w:rFonts w:hint="eastAsia" w:ascii="宋体" w:hAnsi="宋体" w:cs="宋体"/>
          <w:b/>
          <w:bCs/>
          <w:szCs w:val="28"/>
        </w:rPr>
        <w:t>充电桩收入</w:t>
      </w:r>
    </w:p>
    <w:p w14:paraId="05968D04">
      <w:pPr>
        <w:pStyle w:val="13"/>
        <w:ind w:firstLine="560"/>
        <w:rPr>
          <w:rFonts w:hint="eastAsia" w:ascii="宋体" w:hAnsi="宋体" w:cs="宋体"/>
          <w:szCs w:val="28"/>
        </w:rPr>
      </w:pPr>
      <w:r>
        <w:rPr>
          <w:rFonts w:hint="eastAsia"/>
        </w:rPr>
        <w:t>根据市场调查情况，武胜县目前充电桩较少、远不能保证目前的电动汽车充电需求，本项目规划充电桩200个，充电速率为10度/小时，充电时间预计为12小时/天。国内公共充电桩的充电费一般是由电费和服务费组成的，基本电费根据充电具体时段一般波峰在1.8元/度左右，波谷一般在0.9元/度左右，平均预计为1.2元/度，服务费根据各地物价局批准范围不同，考虑武胜县实际情况，服务费按0.2元/度预测，总价平均为1.4元/度。充电桩收入=充电桩个数×每天充电时间×充电速率×单价×365。</w:t>
      </w:r>
      <w:r>
        <w:rPr>
          <w:rFonts w:hint="eastAsia" w:ascii="宋体" w:hAnsi="宋体" w:cs="宋体"/>
          <w:szCs w:val="28"/>
        </w:rPr>
        <w:t>运营期收入共计10,412.82万元。</w:t>
      </w:r>
    </w:p>
    <w:p w14:paraId="7BAC8494">
      <w:pPr>
        <w:pStyle w:val="13"/>
        <w:numPr>
          <w:ilvl w:val="0"/>
          <w:numId w:val="2"/>
        </w:numPr>
        <w:ind w:firstLine="562"/>
        <w:rPr>
          <w:rFonts w:hint="eastAsia" w:ascii="宋体" w:hAnsi="宋体" w:cs="宋体"/>
          <w:b/>
          <w:bCs/>
          <w:szCs w:val="28"/>
        </w:rPr>
      </w:pPr>
      <w:r>
        <w:rPr>
          <w:rFonts w:hint="eastAsia" w:ascii="宋体" w:hAnsi="宋体" w:cs="宋体"/>
          <w:b/>
          <w:bCs/>
          <w:szCs w:val="28"/>
        </w:rPr>
        <w:t>物业收入</w:t>
      </w:r>
    </w:p>
    <w:p w14:paraId="24670F76">
      <w:pPr>
        <w:pStyle w:val="13"/>
        <w:ind w:firstLine="560"/>
      </w:pPr>
      <w:r>
        <w:rPr>
          <w:rFonts w:hint="eastAsia"/>
        </w:rPr>
        <w:t>根据业主提供的资料，本项目物业收入包括两部分，分别为住宅区物业服务收费与生活配套用房区物业服务收费。参考广安市物业服务收费管理指导标准，住宅区物业服务收费指导价格为1.30元/㎡/月，生活配套用房物业服务收费指导价格为2.00元/㎡/月。物业收入=住宅面积×住宅区物业服务单价+生活配套用房面积×生活配套用房区物业服务单价。</w:t>
      </w:r>
      <w:r>
        <w:rPr>
          <w:rFonts w:hint="eastAsia" w:ascii="宋体" w:hAnsi="宋体" w:cs="宋体"/>
          <w:szCs w:val="28"/>
        </w:rPr>
        <w:t>运营期收入共计2,461.59万元。</w:t>
      </w:r>
    </w:p>
    <w:p w14:paraId="20C8F8B6">
      <w:pPr>
        <w:spacing w:line="360" w:lineRule="auto"/>
        <w:ind w:firstLine="562" w:firstLineChars="200"/>
        <w:rPr>
          <w:rFonts w:hint="eastAsia" w:ascii="宋体" w:hAnsi="宋体" w:cs="宋体"/>
          <w:b/>
          <w:sz w:val="28"/>
          <w:szCs w:val="28"/>
        </w:rPr>
      </w:pPr>
      <w:r>
        <w:rPr>
          <w:rFonts w:hint="eastAsia" w:ascii="宋体" w:hAnsi="宋体" w:cs="宋体"/>
          <w:b/>
          <w:sz w:val="28"/>
          <w:szCs w:val="28"/>
        </w:rPr>
        <w:t>2.项目成本</w:t>
      </w:r>
    </w:p>
    <w:p w14:paraId="58FA2599">
      <w:pPr>
        <w:tabs>
          <w:tab w:val="left" w:pos="756"/>
          <w:tab w:val="left" w:pos="1134"/>
        </w:tabs>
        <w:snapToGrid w:val="0"/>
        <w:spacing w:line="360" w:lineRule="auto"/>
        <w:ind w:firstLine="560" w:firstLineChars="200"/>
        <w:rPr>
          <w:rFonts w:hint="eastAsia" w:ascii="宋体" w:hAnsi="宋体" w:cs="宋体"/>
          <w:color w:val="000000" w:themeColor="text1"/>
          <w:sz w:val="28"/>
          <w14:textFill>
            <w14:solidFill>
              <w14:schemeClr w14:val="tx1"/>
            </w14:solidFill>
          </w14:textFill>
        </w:rPr>
      </w:pPr>
      <w:r>
        <w:rPr>
          <w:rFonts w:hint="eastAsia" w:ascii="宋体" w:hAnsi="宋体" w:cs="宋体"/>
          <w:color w:val="000000" w:themeColor="text1"/>
          <w:sz w:val="28"/>
          <w14:textFill>
            <w14:solidFill>
              <w14:schemeClr w14:val="tx1"/>
            </w14:solidFill>
          </w14:textFill>
        </w:rPr>
        <w:t>项目预计于2025年开始运营，运营期9年。运营期内项目成本主要是销售成本、人工、管理费、电费、税金、折旧、财务费用。具体如下：</w:t>
      </w:r>
    </w:p>
    <w:p w14:paraId="0F81435D">
      <w:pPr>
        <w:pStyle w:val="13"/>
        <w:ind w:firstLine="560"/>
      </w:pPr>
      <w:r>
        <w:rPr>
          <w:rFonts w:hint="eastAsia"/>
        </w:rPr>
        <w:t>①销售成本</w:t>
      </w:r>
    </w:p>
    <w:p w14:paraId="6D020606">
      <w:pPr>
        <w:pStyle w:val="13"/>
        <w:ind w:firstLine="560"/>
      </w:pPr>
      <w:r>
        <w:rPr>
          <w:rFonts w:hint="eastAsia"/>
        </w:rPr>
        <w:t>主要是销售车位成本以及销售生活配套用房成本，销售成本=销售面积比例×生活配套用房或车位建设成本。</w:t>
      </w:r>
    </w:p>
    <w:p w14:paraId="01ADF9B6">
      <w:pPr>
        <w:pStyle w:val="13"/>
        <w:ind w:firstLine="560"/>
      </w:pPr>
      <w:r>
        <w:rPr>
          <w:rFonts w:hint="eastAsia"/>
        </w:rPr>
        <w:t>②人工</w:t>
      </w:r>
    </w:p>
    <w:p w14:paraId="0A517364">
      <w:pPr>
        <w:pStyle w:val="13"/>
        <w:ind w:firstLine="560"/>
      </w:pPr>
      <w:r>
        <w:rPr>
          <w:rFonts w:hint="eastAsia"/>
        </w:rPr>
        <w:t>主要为物业人员工资，人员数量按照20人计算，年薪按照5万元/人，每三年增长2%计算。</w:t>
      </w:r>
    </w:p>
    <w:p w14:paraId="71C4869D">
      <w:pPr>
        <w:pStyle w:val="13"/>
        <w:ind w:firstLine="560"/>
      </w:pPr>
      <w:r>
        <w:rPr>
          <w:rFonts w:hint="eastAsia"/>
        </w:rPr>
        <w:t>③管理费用</w:t>
      </w:r>
    </w:p>
    <w:p w14:paraId="1B6D2A37">
      <w:pPr>
        <w:pStyle w:val="13"/>
        <w:ind w:firstLine="560"/>
      </w:pPr>
      <w:r>
        <w:rPr>
          <w:rFonts w:hint="eastAsia"/>
        </w:rPr>
        <w:t>主要为日常管理、办公费用，运营期间管理费用按营业收入的5.00%计算。</w:t>
      </w:r>
    </w:p>
    <w:p w14:paraId="45F94DFB">
      <w:pPr>
        <w:pStyle w:val="13"/>
        <w:ind w:firstLine="560"/>
      </w:pPr>
      <w:r>
        <w:rPr>
          <w:rFonts w:hint="eastAsia"/>
        </w:rPr>
        <w:t>④电费</w:t>
      </w:r>
    </w:p>
    <w:p w14:paraId="08317366">
      <w:pPr>
        <w:pStyle w:val="13"/>
        <w:ind w:firstLine="560"/>
      </w:pPr>
      <w:r>
        <w:rPr>
          <w:rFonts w:hint="eastAsia"/>
        </w:rPr>
        <w:t>主要是充电桩电费成本，按阶梯价格收费，根据广安市生活用电统计情况，波峰波谷平均下来每度成本0.51元。</w:t>
      </w:r>
    </w:p>
    <w:p w14:paraId="6C24C208">
      <w:pPr>
        <w:pStyle w:val="13"/>
        <w:ind w:firstLine="560"/>
      </w:pPr>
      <w:r>
        <w:rPr>
          <w:rFonts w:hint="eastAsia"/>
        </w:rPr>
        <w:t>⑤税金</w:t>
      </w:r>
    </w:p>
    <w:p w14:paraId="59348CAA">
      <w:pPr>
        <w:pStyle w:val="13"/>
        <w:ind w:firstLine="560"/>
      </w:pPr>
      <w:r>
        <w:rPr>
          <w:rFonts w:hint="eastAsia"/>
        </w:rPr>
        <w:t>本项目配套用房出租收入、配套用房出售收入、停车位出租收入、停车位出售收入适用9%增值税税率；充电桩收入、物业收入6%增值税税率；城市维护建设税适用税率5%；教育费附加适用税率3%，地方教育附加费适用税率2%；出售建筑物房产税按照从价计征扣减30%后税率1.2%计算；出租建筑物房产税按照从租计征12%计算；所得税费用适用税率25%；土地增值税：根据《国家税务总局四川省税务局关于土地增值税预征及核定征收有关事项的公告》（国家税务总局四川省税务局公告2023年第3号）、《财政部 国家税务总局关于棚户区改造有关税收政策的通知》（财税【2013】101号）等文件的规定，保障性住房暂不预征土地增值税；增值额未超过扣除项目金额20%的，免征土地增值税，本项目不计算土地增值税。</w:t>
      </w:r>
    </w:p>
    <w:p w14:paraId="500534FE">
      <w:pPr>
        <w:pStyle w:val="13"/>
        <w:ind w:firstLine="560"/>
      </w:pPr>
      <w:r>
        <w:rPr>
          <w:rFonts w:hint="eastAsia"/>
        </w:rPr>
        <w:t>⑥折旧</w:t>
      </w:r>
    </w:p>
    <w:p w14:paraId="72CEC8F1">
      <w:pPr>
        <w:pStyle w:val="13"/>
        <w:ind w:firstLine="560"/>
      </w:pPr>
      <w:r>
        <w:rPr>
          <w:rFonts w:hint="eastAsia"/>
        </w:rPr>
        <w:t>固定资产折旧：根据《中华人民共和国企业所得税法实施条例》第六十条规定，房屋、建筑物折旧的最低年限为20年，本项目折旧年限取20年，残值率取5%。</w:t>
      </w:r>
    </w:p>
    <w:p w14:paraId="01FFA922">
      <w:pPr>
        <w:pStyle w:val="13"/>
        <w:ind w:firstLine="560"/>
      </w:pPr>
      <w:r>
        <w:rPr>
          <w:rFonts w:hint="eastAsia"/>
        </w:rPr>
        <w:t>⑦财务费用</w:t>
      </w:r>
    </w:p>
    <w:p w14:paraId="48084043">
      <w:pPr>
        <w:pStyle w:val="13"/>
        <w:ind w:firstLine="560"/>
      </w:pPr>
      <w:r>
        <w:rPr>
          <w:rFonts w:hint="eastAsia"/>
        </w:rPr>
        <w:t>本项目专项债券分两年发行，202</w:t>
      </w:r>
      <w:r>
        <w:rPr>
          <w:rFonts w:hint="eastAsia"/>
          <w:lang w:val="en-US" w:eastAsia="zh-CN"/>
        </w:rPr>
        <w:t>4</w:t>
      </w:r>
      <w:r>
        <w:rPr>
          <w:rFonts w:hint="eastAsia"/>
        </w:rPr>
        <w:t>年</w:t>
      </w:r>
      <w:r>
        <w:rPr>
          <w:rFonts w:hint="eastAsia"/>
          <w:lang w:val="en-US" w:eastAsia="zh-CN"/>
        </w:rPr>
        <w:t>已发行12000.00万元</w:t>
      </w:r>
      <w:r>
        <w:rPr>
          <w:rFonts w:hint="eastAsia"/>
        </w:rPr>
        <w:t>、202</w:t>
      </w:r>
      <w:r>
        <w:rPr>
          <w:rFonts w:hint="eastAsia"/>
          <w:lang w:val="en-US" w:eastAsia="zh-CN"/>
        </w:rPr>
        <w:t>5</w:t>
      </w:r>
      <w:r>
        <w:rPr>
          <w:rFonts w:hint="eastAsia"/>
        </w:rPr>
        <w:t>年</w:t>
      </w:r>
      <w:r>
        <w:rPr>
          <w:rFonts w:hint="eastAsia"/>
          <w:lang w:val="en-US" w:eastAsia="zh-CN"/>
        </w:rPr>
        <w:t>计划</w:t>
      </w:r>
      <w:r>
        <w:rPr>
          <w:rFonts w:hint="eastAsia"/>
        </w:rPr>
        <w:t>发行</w:t>
      </w:r>
      <w:r>
        <w:rPr>
          <w:rFonts w:hint="eastAsia"/>
          <w:lang w:val="en-US" w:eastAsia="zh-CN"/>
        </w:rPr>
        <w:t>8</w:t>
      </w:r>
      <w:r>
        <w:rPr>
          <w:rFonts w:hint="eastAsia"/>
        </w:rPr>
        <w:t>,000.00万元，专项债利率参考2023年四川省政府专项债券（二十至二十六期）发行结果公告，专项债券平均利率为2.99%。其中5年期债券票面利率2.75%，7年期债券票面利率2.88%，10年期债券票面利率2.91%，15年期债券票面利率3.06%，20年期债券票面利率3.12%，30年期债券票面利率3.26%。出于谨慎考虑，本项目发行10年期债券利率按照3.5%进行测算。运营期内债券的利息费用，共计5,950.00万元。</w:t>
      </w:r>
    </w:p>
    <w:p w14:paraId="7F962C0C">
      <w:pPr>
        <w:pStyle w:val="13"/>
        <w:ind w:firstLine="643"/>
        <w:rPr>
          <w:rFonts w:ascii="楷体_GB2312" w:eastAsia="楷体_GB2312"/>
          <w:b/>
          <w:sz w:val="32"/>
          <w:szCs w:val="32"/>
        </w:rPr>
      </w:pPr>
      <w:r>
        <w:rPr>
          <w:rFonts w:hint="eastAsia" w:ascii="楷体_GB2312" w:eastAsia="楷体_GB2312"/>
          <w:b/>
          <w:sz w:val="32"/>
          <w:szCs w:val="32"/>
        </w:rPr>
        <w:t>（二）资金测算平衡情况</w:t>
      </w:r>
    </w:p>
    <w:p w14:paraId="3F24B3CF">
      <w:pPr>
        <w:ind w:firstLine="560"/>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14:textFill>
            <w14:solidFill>
              <w14:schemeClr w14:val="tx1"/>
            </w14:solidFill>
          </w14:textFill>
        </w:rPr>
        <w:t>本项目估算建设总投资为40,000.00万元。经测算，项目可用于还本付息资金来源为38,722.86万元，能够完全覆盖专项债券还本付息金额27,000.00万元,项目收益覆盖债券本息倍数1.40倍；项目收益与融资能够自求平衡。</w:t>
      </w:r>
    </w:p>
    <w:p w14:paraId="7E12D1F4">
      <w:pPr>
        <w:ind w:firstLine="600" w:firstLineChars="200"/>
        <w:rPr>
          <w:rFonts w:hint="eastAsia" w:ascii="宋体" w:hAnsi="宋体" w:cs="宋体"/>
          <w:color w:val="000000" w:themeColor="text1"/>
          <w:sz w:val="30"/>
          <w:szCs w:val="30"/>
          <w14:textFill>
            <w14:solidFill>
              <w14:schemeClr w14:val="tx1"/>
            </w14:solidFill>
          </w14:textFill>
        </w:rPr>
      </w:pPr>
    </w:p>
    <w:p w14:paraId="330D81F7">
      <w:pPr>
        <w:pStyle w:val="13"/>
        <w:ind w:firstLine="643"/>
        <w:rPr>
          <w:rFonts w:ascii="楷体_GB2312" w:eastAsia="楷体_GB2312"/>
          <w:b/>
          <w:sz w:val="32"/>
          <w:szCs w:val="32"/>
        </w:rPr>
        <w:sectPr>
          <w:pgSz w:w="11906" w:h="16838"/>
          <w:pgMar w:top="1440" w:right="1800" w:bottom="1440" w:left="1800" w:header="851" w:footer="992" w:gutter="0"/>
          <w:cols w:space="425" w:num="1"/>
          <w:docGrid w:type="lines" w:linePitch="312" w:charSpace="0"/>
        </w:sectPr>
      </w:pPr>
    </w:p>
    <w:p w14:paraId="283FB22E">
      <w:pPr>
        <w:jc w:val="center"/>
        <w:rPr>
          <w:rFonts w:hint="eastAsia" w:ascii="宋体" w:hAnsi="宋体" w:cs="宋体"/>
          <w:b/>
          <w:bCs/>
          <w:sz w:val="24"/>
          <w:szCs w:val="24"/>
        </w:rPr>
      </w:pPr>
      <w:r>
        <w:rPr>
          <w:rFonts w:hint="eastAsia" w:ascii="宋体" w:hAnsi="宋体" w:cs="宋体"/>
          <w:b/>
          <w:bCs/>
          <w:sz w:val="24"/>
          <w:szCs w:val="24"/>
        </w:rPr>
        <w:t>项目资金测算平衡表（单位：万元）</w:t>
      </w:r>
    </w:p>
    <w:tbl>
      <w:tblPr>
        <w:tblStyle w:val="14"/>
        <w:tblW w:w="4658" w:type="pct"/>
        <w:tblInd w:w="0" w:type="dxa"/>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Layout w:type="autofit"/>
        <w:tblCellMar>
          <w:top w:w="0" w:type="dxa"/>
          <w:left w:w="108" w:type="dxa"/>
          <w:bottom w:w="0" w:type="dxa"/>
          <w:right w:w="108" w:type="dxa"/>
        </w:tblCellMar>
      </w:tblPr>
      <w:tblGrid>
        <w:gridCol w:w="2366"/>
        <w:gridCol w:w="1280"/>
        <w:gridCol w:w="1280"/>
        <w:gridCol w:w="1151"/>
        <w:gridCol w:w="1151"/>
        <w:gridCol w:w="1151"/>
        <w:gridCol w:w="1151"/>
        <w:gridCol w:w="1154"/>
        <w:gridCol w:w="1154"/>
        <w:gridCol w:w="1283"/>
        <w:gridCol w:w="1283"/>
        <w:gridCol w:w="1283"/>
        <w:gridCol w:w="1267"/>
      </w:tblGrid>
      <w:tr w14:paraId="54B928B8">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567" w:hRule="atLeast"/>
        </w:trPr>
        <w:tc>
          <w:tcPr>
            <w:tcW w:w="697" w:type="pct"/>
            <w:shd w:val="clear" w:color="auto" w:fill="auto"/>
            <w:noWrap/>
            <w:vAlign w:val="center"/>
          </w:tcPr>
          <w:p w14:paraId="2EA35332">
            <w:pPr>
              <w:widowControl/>
              <w:jc w:val="center"/>
              <w:rPr>
                <w:rFonts w:ascii="Arial" w:hAnsi="Arial" w:cs="Arial"/>
                <w:color w:val="000000"/>
                <w:kern w:val="0"/>
                <w:sz w:val="18"/>
                <w:szCs w:val="20"/>
              </w:rPr>
            </w:pPr>
            <w:r>
              <w:rPr>
                <w:rFonts w:hint="eastAsia" w:ascii="宋体" w:hAnsi="宋体" w:cs="Arial"/>
                <w:color w:val="000000"/>
                <w:kern w:val="0"/>
                <w:sz w:val="18"/>
                <w:szCs w:val="20"/>
              </w:rPr>
              <w:t>项目</w:t>
            </w:r>
          </w:p>
        </w:tc>
        <w:tc>
          <w:tcPr>
            <w:tcW w:w="377" w:type="pct"/>
            <w:shd w:val="clear" w:color="auto" w:fill="auto"/>
            <w:vAlign w:val="center"/>
          </w:tcPr>
          <w:p w14:paraId="4ABB7FC1">
            <w:pPr>
              <w:widowControl/>
              <w:jc w:val="right"/>
              <w:rPr>
                <w:rFonts w:ascii="Arial" w:hAnsi="Arial" w:cs="Arial"/>
                <w:color w:val="000000"/>
                <w:kern w:val="0"/>
                <w:sz w:val="18"/>
                <w:szCs w:val="20"/>
              </w:rPr>
            </w:pPr>
            <w:r>
              <w:rPr>
                <w:rFonts w:hint="eastAsia" w:ascii="Arial" w:hAnsi="Arial" w:cs="Arial"/>
                <w:color w:val="000000"/>
                <w:kern w:val="0"/>
                <w:sz w:val="18"/>
                <w:szCs w:val="20"/>
              </w:rPr>
              <w:t>建设期</w:t>
            </w:r>
          </w:p>
          <w:p w14:paraId="1620D9BF">
            <w:pPr>
              <w:widowControl/>
              <w:jc w:val="right"/>
              <w:rPr>
                <w:rFonts w:ascii="Arial" w:hAnsi="Arial" w:cs="Arial"/>
                <w:color w:val="000000"/>
                <w:kern w:val="0"/>
                <w:sz w:val="18"/>
                <w:szCs w:val="20"/>
              </w:rPr>
            </w:pPr>
            <w:r>
              <w:rPr>
                <w:rFonts w:hint="eastAsia" w:ascii="Arial" w:hAnsi="Arial" w:cs="Arial"/>
                <w:color w:val="000000"/>
                <w:kern w:val="0"/>
                <w:sz w:val="18"/>
                <w:szCs w:val="20"/>
              </w:rPr>
              <w:t>第一年</w:t>
            </w:r>
          </w:p>
        </w:tc>
        <w:tc>
          <w:tcPr>
            <w:tcW w:w="377" w:type="pct"/>
            <w:shd w:val="clear" w:color="auto" w:fill="auto"/>
            <w:vAlign w:val="center"/>
          </w:tcPr>
          <w:p w14:paraId="054E2492">
            <w:pPr>
              <w:widowControl/>
              <w:jc w:val="right"/>
              <w:rPr>
                <w:rFonts w:ascii="Arial" w:hAnsi="Arial" w:cs="Arial"/>
                <w:color w:val="000000"/>
                <w:kern w:val="0"/>
                <w:sz w:val="18"/>
                <w:szCs w:val="20"/>
              </w:rPr>
            </w:pPr>
            <w:r>
              <w:rPr>
                <w:rFonts w:hint="eastAsia" w:ascii="Arial" w:hAnsi="Arial" w:cs="Arial"/>
                <w:color w:val="000000"/>
                <w:kern w:val="0"/>
                <w:sz w:val="18"/>
                <w:szCs w:val="20"/>
              </w:rPr>
              <w:t>建设期</w:t>
            </w:r>
          </w:p>
          <w:p w14:paraId="21DDA0A6">
            <w:pPr>
              <w:widowControl/>
              <w:jc w:val="right"/>
              <w:rPr>
                <w:rFonts w:ascii="Arial" w:hAnsi="Arial" w:cs="Arial"/>
                <w:color w:val="000000"/>
                <w:kern w:val="0"/>
                <w:sz w:val="18"/>
                <w:szCs w:val="20"/>
              </w:rPr>
            </w:pPr>
            <w:r>
              <w:rPr>
                <w:rFonts w:hint="eastAsia" w:ascii="Arial" w:hAnsi="Arial" w:cs="Arial"/>
                <w:color w:val="000000"/>
                <w:kern w:val="0"/>
                <w:sz w:val="18"/>
                <w:szCs w:val="20"/>
              </w:rPr>
              <w:t>第二年</w:t>
            </w:r>
          </w:p>
        </w:tc>
        <w:tc>
          <w:tcPr>
            <w:tcW w:w="339" w:type="pct"/>
            <w:shd w:val="clear" w:color="auto" w:fill="auto"/>
            <w:vAlign w:val="center"/>
          </w:tcPr>
          <w:p w14:paraId="4E68CF34">
            <w:pPr>
              <w:widowControl/>
              <w:jc w:val="center"/>
              <w:rPr>
                <w:rFonts w:ascii="Arial" w:hAnsi="Arial" w:cs="Arial"/>
                <w:color w:val="000000"/>
                <w:kern w:val="0"/>
                <w:sz w:val="18"/>
              </w:rPr>
            </w:pPr>
            <w:r>
              <w:rPr>
                <w:rFonts w:hint="eastAsia" w:ascii="Arial" w:hAnsi="Arial" w:cs="Arial"/>
                <w:color w:val="000000"/>
                <w:kern w:val="0"/>
                <w:sz w:val="18"/>
              </w:rPr>
              <w:t>运营期第一</w:t>
            </w:r>
            <w:r>
              <w:rPr>
                <w:rFonts w:ascii="Arial" w:hAnsi="Arial" w:cs="Arial"/>
                <w:color w:val="000000"/>
                <w:kern w:val="0"/>
                <w:sz w:val="18"/>
              </w:rPr>
              <w:t>年</w:t>
            </w:r>
          </w:p>
        </w:tc>
        <w:tc>
          <w:tcPr>
            <w:tcW w:w="339" w:type="pct"/>
            <w:shd w:val="clear" w:color="auto" w:fill="auto"/>
            <w:vAlign w:val="center"/>
          </w:tcPr>
          <w:p w14:paraId="25E1E1FF">
            <w:pPr>
              <w:widowControl/>
              <w:jc w:val="center"/>
              <w:rPr>
                <w:rFonts w:ascii="Arial" w:hAnsi="Arial" w:cs="Arial"/>
                <w:color w:val="000000"/>
                <w:kern w:val="0"/>
                <w:sz w:val="18"/>
              </w:rPr>
            </w:pPr>
            <w:r>
              <w:rPr>
                <w:rFonts w:hint="eastAsia" w:ascii="Arial" w:hAnsi="Arial" w:cs="Arial"/>
                <w:color w:val="000000"/>
                <w:kern w:val="0"/>
                <w:sz w:val="18"/>
              </w:rPr>
              <w:t>运营期</w:t>
            </w:r>
          </w:p>
          <w:p w14:paraId="65A7C0E3">
            <w:pPr>
              <w:widowControl/>
              <w:jc w:val="center"/>
              <w:rPr>
                <w:rFonts w:ascii="Arial" w:hAnsi="Arial" w:cs="Arial"/>
                <w:color w:val="000000"/>
                <w:kern w:val="0"/>
                <w:sz w:val="18"/>
              </w:rPr>
            </w:pPr>
            <w:r>
              <w:rPr>
                <w:rFonts w:hint="eastAsia" w:ascii="Arial" w:hAnsi="Arial" w:cs="Arial"/>
                <w:color w:val="000000"/>
                <w:kern w:val="0"/>
                <w:sz w:val="18"/>
              </w:rPr>
              <w:t>第二</w:t>
            </w:r>
            <w:r>
              <w:rPr>
                <w:rFonts w:ascii="Arial" w:hAnsi="Arial" w:cs="Arial"/>
                <w:color w:val="000000"/>
                <w:kern w:val="0"/>
                <w:sz w:val="18"/>
              </w:rPr>
              <w:t>年</w:t>
            </w:r>
          </w:p>
        </w:tc>
        <w:tc>
          <w:tcPr>
            <w:tcW w:w="339" w:type="pct"/>
            <w:shd w:val="clear" w:color="auto" w:fill="auto"/>
            <w:vAlign w:val="center"/>
          </w:tcPr>
          <w:p w14:paraId="6F9FA8B7">
            <w:pPr>
              <w:widowControl/>
              <w:jc w:val="center"/>
              <w:rPr>
                <w:rFonts w:ascii="Arial" w:hAnsi="Arial" w:cs="Arial"/>
                <w:color w:val="000000"/>
                <w:kern w:val="0"/>
                <w:sz w:val="18"/>
              </w:rPr>
            </w:pPr>
            <w:r>
              <w:rPr>
                <w:rFonts w:hint="eastAsia" w:ascii="Arial" w:hAnsi="Arial" w:cs="Arial"/>
                <w:color w:val="000000"/>
                <w:kern w:val="0"/>
                <w:sz w:val="18"/>
              </w:rPr>
              <w:t>运营期</w:t>
            </w:r>
          </w:p>
          <w:p w14:paraId="5B187608">
            <w:pPr>
              <w:widowControl/>
              <w:jc w:val="center"/>
              <w:rPr>
                <w:rFonts w:ascii="Arial" w:hAnsi="Arial" w:cs="Arial"/>
                <w:color w:val="000000"/>
                <w:kern w:val="0"/>
                <w:sz w:val="18"/>
              </w:rPr>
            </w:pPr>
            <w:r>
              <w:rPr>
                <w:rFonts w:hint="eastAsia" w:ascii="Arial" w:hAnsi="Arial" w:cs="Arial"/>
                <w:color w:val="000000"/>
                <w:kern w:val="0"/>
                <w:sz w:val="18"/>
              </w:rPr>
              <w:t>第三</w:t>
            </w:r>
            <w:r>
              <w:rPr>
                <w:rFonts w:ascii="Arial" w:hAnsi="Arial" w:cs="Arial"/>
                <w:color w:val="000000"/>
                <w:kern w:val="0"/>
                <w:sz w:val="18"/>
              </w:rPr>
              <w:t>年</w:t>
            </w:r>
          </w:p>
        </w:tc>
        <w:tc>
          <w:tcPr>
            <w:tcW w:w="339" w:type="pct"/>
            <w:shd w:val="clear" w:color="auto" w:fill="auto"/>
            <w:vAlign w:val="center"/>
          </w:tcPr>
          <w:p w14:paraId="5474ECFE">
            <w:pPr>
              <w:widowControl/>
              <w:jc w:val="center"/>
              <w:rPr>
                <w:rFonts w:ascii="Arial" w:hAnsi="Arial" w:cs="Arial"/>
                <w:color w:val="000000"/>
                <w:kern w:val="0"/>
                <w:sz w:val="18"/>
              </w:rPr>
            </w:pPr>
            <w:r>
              <w:rPr>
                <w:rFonts w:hint="eastAsia" w:ascii="Arial" w:hAnsi="Arial" w:cs="Arial"/>
                <w:color w:val="000000"/>
                <w:kern w:val="0"/>
                <w:sz w:val="18"/>
              </w:rPr>
              <w:t>运营期</w:t>
            </w:r>
          </w:p>
          <w:p w14:paraId="24B4AF2E">
            <w:pPr>
              <w:widowControl/>
              <w:jc w:val="center"/>
              <w:rPr>
                <w:rFonts w:ascii="Arial" w:hAnsi="Arial" w:cs="Arial"/>
                <w:color w:val="000000"/>
                <w:kern w:val="0"/>
                <w:sz w:val="18"/>
              </w:rPr>
            </w:pPr>
            <w:r>
              <w:rPr>
                <w:rFonts w:hint="eastAsia" w:ascii="Arial" w:hAnsi="Arial" w:cs="Arial"/>
                <w:color w:val="000000"/>
                <w:kern w:val="0"/>
                <w:sz w:val="18"/>
              </w:rPr>
              <w:t>第四</w:t>
            </w:r>
            <w:r>
              <w:rPr>
                <w:rFonts w:ascii="Arial" w:hAnsi="Arial" w:cs="Arial"/>
                <w:color w:val="000000"/>
                <w:kern w:val="0"/>
                <w:sz w:val="18"/>
              </w:rPr>
              <w:t>年</w:t>
            </w:r>
          </w:p>
        </w:tc>
        <w:tc>
          <w:tcPr>
            <w:tcW w:w="340" w:type="pct"/>
            <w:shd w:val="clear" w:color="auto" w:fill="auto"/>
            <w:vAlign w:val="center"/>
          </w:tcPr>
          <w:p w14:paraId="42B1488F">
            <w:pPr>
              <w:widowControl/>
              <w:jc w:val="center"/>
              <w:rPr>
                <w:rFonts w:ascii="Arial" w:hAnsi="Arial" w:cs="Arial"/>
                <w:color w:val="000000"/>
                <w:kern w:val="0"/>
                <w:sz w:val="18"/>
              </w:rPr>
            </w:pPr>
            <w:r>
              <w:rPr>
                <w:rFonts w:hint="eastAsia" w:ascii="Arial" w:hAnsi="Arial" w:cs="Arial"/>
                <w:color w:val="000000"/>
                <w:kern w:val="0"/>
                <w:sz w:val="18"/>
              </w:rPr>
              <w:t>运营期</w:t>
            </w:r>
          </w:p>
          <w:p w14:paraId="26396F6A">
            <w:pPr>
              <w:widowControl/>
              <w:jc w:val="center"/>
              <w:rPr>
                <w:rFonts w:ascii="Arial" w:hAnsi="Arial" w:cs="Arial"/>
                <w:color w:val="000000"/>
                <w:kern w:val="0"/>
                <w:sz w:val="18"/>
              </w:rPr>
            </w:pPr>
            <w:r>
              <w:rPr>
                <w:rFonts w:hint="eastAsia" w:ascii="Arial" w:hAnsi="Arial" w:cs="Arial"/>
                <w:color w:val="000000"/>
                <w:kern w:val="0"/>
                <w:sz w:val="18"/>
              </w:rPr>
              <w:t>第五</w:t>
            </w:r>
            <w:r>
              <w:rPr>
                <w:rFonts w:ascii="Arial" w:hAnsi="Arial" w:cs="Arial"/>
                <w:color w:val="000000"/>
                <w:kern w:val="0"/>
                <w:sz w:val="18"/>
              </w:rPr>
              <w:t>年</w:t>
            </w:r>
          </w:p>
        </w:tc>
        <w:tc>
          <w:tcPr>
            <w:tcW w:w="340" w:type="pct"/>
            <w:shd w:val="clear" w:color="auto" w:fill="auto"/>
            <w:vAlign w:val="center"/>
          </w:tcPr>
          <w:p w14:paraId="04740AB5">
            <w:pPr>
              <w:widowControl/>
              <w:jc w:val="center"/>
              <w:rPr>
                <w:rFonts w:ascii="Arial" w:hAnsi="Arial" w:cs="Arial"/>
                <w:color w:val="000000"/>
                <w:kern w:val="0"/>
                <w:sz w:val="18"/>
              </w:rPr>
            </w:pPr>
            <w:r>
              <w:rPr>
                <w:rFonts w:hint="eastAsia" w:ascii="Arial" w:hAnsi="Arial" w:cs="Arial"/>
                <w:color w:val="000000"/>
                <w:kern w:val="0"/>
                <w:sz w:val="18"/>
              </w:rPr>
              <w:t>运营期</w:t>
            </w:r>
          </w:p>
          <w:p w14:paraId="72CB6305">
            <w:pPr>
              <w:widowControl/>
              <w:jc w:val="center"/>
              <w:rPr>
                <w:rFonts w:ascii="Arial" w:hAnsi="Arial" w:cs="Arial"/>
                <w:color w:val="000000"/>
                <w:kern w:val="0"/>
                <w:sz w:val="18"/>
              </w:rPr>
            </w:pPr>
            <w:r>
              <w:rPr>
                <w:rFonts w:hint="eastAsia" w:ascii="Arial" w:hAnsi="Arial" w:cs="Arial"/>
                <w:color w:val="000000"/>
                <w:kern w:val="0"/>
                <w:sz w:val="18"/>
              </w:rPr>
              <w:t>第六</w:t>
            </w:r>
            <w:r>
              <w:rPr>
                <w:rFonts w:ascii="Arial" w:hAnsi="Arial" w:cs="Arial"/>
                <w:color w:val="000000"/>
                <w:kern w:val="0"/>
                <w:sz w:val="18"/>
              </w:rPr>
              <w:t>年</w:t>
            </w:r>
          </w:p>
        </w:tc>
        <w:tc>
          <w:tcPr>
            <w:tcW w:w="378" w:type="pct"/>
            <w:shd w:val="clear" w:color="auto" w:fill="auto"/>
            <w:vAlign w:val="center"/>
          </w:tcPr>
          <w:p w14:paraId="7FA2A987">
            <w:pPr>
              <w:widowControl/>
              <w:jc w:val="center"/>
              <w:rPr>
                <w:rFonts w:ascii="Arial" w:hAnsi="Arial" w:cs="Arial"/>
                <w:color w:val="000000"/>
                <w:kern w:val="0"/>
                <w:sz w:val="18"/>
              </w:rPr>
            </w:pPr>
            <w:r>
              <w:rPr>
                <w:rFonts w:hint="eastAsia" w:ascii="Arial" w:hAnsi="Arial" w:cs="Arial"/>
                <w:color w:val="000000"/>
                <w:kern w:val="0"/>
                <w:sz w:val="18"/>
              </w:rPr>
              <w:t>运营期</w:t>
            </w:r>
          </w:p>
          <w:p w14:paraId="1E4EA3D8">
            <w:pPr>
              <w:widowControl/>
              <w:jc w:val="center"/>
              <w:rPr>
                <w:rFonts w:ascii="Arial" w:hAnsi="Arial" w:cs="Arial"/>
                <w:color w:val="000000"/>
                <w:kern w:val="0"/>
                <w:sz w:val="18"/>
              </w:rPr>
            </w:pPr>
            <w:r>
              <w:rPr>
                <w:rFonts w:hint="eastAsia" w:ascii="Arial" w:hAnsi="Arial" w:cs="Arial"/>
                <w:color w:val="000000"/>
                <w:kern w:val="0"/>
                <w:sz w:val="18"/>
              </w:rPr>
              <w:t>第七</w:t>
            </w:r>
            <w:r>
              <w:rPr>
                <w:rFonts w:ascii="Arial" w:hAnsi="Arial" w:cs="Arial"/>
                <w:color w:val="000000"/>
                <w:kern w:val="0"/>
                <w:sz w:val="18"/>
              </w:rPr>
              <w:t>年</w:t>
            </w:r>
          </w:p>
        </w:tc>
        <w:tc>
          <w:tcPr>
            <w:tcW w:w="378" w:type="pct"/>
            <w:shd w:val="clear" w:color="auto" w:fill="auto"/>
            <w:vAlign w:val="center"/>
          </w:tcPr>
          <w:p w14:paraId="49F05C6D">
            <w:pPr>
              <w:widowControl/>
              <w:jc w:val="center"/>
              <w:rPr>
                <w:rFonts w:ascii="Arial" w:hAnsi="Arial" w:cs="Arial"/>
                <w:color w:val="000000"/>
                <w:kern w:val="0"/>
                <w:sz w:val="18"/>
              </w:rPr>
            </w:pPr>
            <w:r>
              <w:rPr>
                <w:rFonts w:hint="eastAsia" w:ascii="Arial" w:hAnsi="Arial" w:cs="Arial"/>
                <w:color w:val="000000"/>
                <w:kern w:val="0"/>
                <w:sz w:val="18"/>
              </w:rPr>
              <w:t>运营期</w:t>
            </w:r>
          </w:p>
          <w:p w14:paraId="25169BF7">
            <w:pPr>
              <w:widowControl/>
              <w:jc w:val="center"/>
              <w:rPr>
                <w:rFonts w:ascii="Arial" w:hAnsi="Arial" w:cs="Arial"/>
                <w:color w:val="000000"/>
                <w:kern w:val="0"/>
                <w:sz w:val="18"/>
              </w:rPr>
            </w:pPr>
            <w:r>
              <w:rPr>
                <w:rFonts w:hint="eastAsia" w:ascii="Arial" w:hAnsi="Arial" w:cs="Arial"/>
                <w:color w:val="000000"/>
                <w:kern w:val="0"/>
                <w:sz w:val="18"/>
              </w:rPr>
              <w:t>第八</w:t>
            </w:r>
            <w:r>
              <w:rPr>
                <w:rFonts w:ascii="Arial" w:hAnsi="Arial" w:cs="Arial"/>
                <w:color w:val="000000"/>
                <w:kern w:val="0"/>
                <w:sz w:val="18"/>
              </w:rPr>
              <w:t>年</w:t>
            </w:r>
          </w:p>
        </w:tc>
        <w:tc>
          <w:tcPr>
            <w:tcW w:w="378" w:type="pct"/>
            <w:shd w:val="clear" w:color="auto" w:fill="auto"/>
            <w:vAlign w:val="center"/>
          </w:tcPr>
          <w:p w14:paraId="6F6A0874">
            <w:pPr>
              <w:widowControl/>
              <w:jc w:val="center"/>
              <w:rPr>
                <w:rFonts w:ascii="Arial" w:hAnsi="Arial" w:cs="Arial"/>
                <w:color w:val="000000"/>
                <w:kern w:val="0"/>
                <w:sz w:val="18"/>
              </w:rPr>
            </w:pPr>
            <w:r>
              <w:rPr>
                <w:rFonts w:hint="eastAsia" w:ascii="Arial" w:hAnsi="Arial" w:cs="Arial"/>
                <w:color w:val="000000"/>
                <w:kern w:val="0"/>
                <w:sz w:val="18"/>
              </w:rPr>
              <w:t>运营期</w:t>
            </w:r>
          </w:p>
          <w:p w14:paraId="51D32D0C">
            <w:pPr>
              <w:widowControl/>
              <w:jc w:val="center"/>
              <w:rPr>
                <w:rFonts w:ascii="Arial" w:hAnsi="Arial" w:cs="Arial"/>
                <w:color w:val="000000"/>
                <w:kern w:val="0"/>
                <w:sz w:val="18"/>
              </w:rPr>
            </w:pPr>
            <w:r>
              <w:rPr>
                <w:rFonts w:hint="eastAsia" w:ascii="Arial" w:hAnsi="Arial" w:cs="Arial"/>
                <w:color w:val="000000"/>
                <w:kern w:val="0"/>
                <w:sz w:val="18"/>
              </w:rPr>
              <w:t>第九</w:t>
            </w:r>
            <w:r>
              <w:rPr>
                <w:rFonts w:ascii="Arial" w:hAnsi="Arial" w:cs="Arial"/>
                <w:color w:val="000000"/>
                <w:kern w:val="0"/>
                <w:sz w:val="18"/>
              </w:rPr>
              <w:t>年</w:t>
            </w:r>
          </w:p>
        </w:tc>
        <w:tc>
          <w:tcPr>
            <w:tcW w:w="373" w:type="pct"/>
            <w:shd w:val="clear" w:color="auto" w:fill="auto"/>
            <w:vAlign w:val="center"/>
          </w:tcPr>
          <w:p w14:paraId="2D73F635">
            <w:pPr>
              <w:widowControl/>
              <w:jc w:val="right"/>
              <w:rPr>
                <w:rFonts w:ascii="Arial" w:hAnsi="Arial" w:cs="Arial"/>
                <w:color w:val="000000"/>
                <w:kern w:val="0"/>
                <w:sz w:val="18"/>
                <w:szCs w:val="20"/>
              </w:rPr>
            </w:pPr>
            <w:r>
              <w:rPr>
                <w:rFonts w:hint="eastAsia" w:ascii="宋体" w:hAnsi="宋体" w:cs="Arial"/>
                <w:color w:val="000000"/>
                <w:kern w:val="0"/>
                <w:sz w:val="18"/>
                <w:szCs w:val="20"/>
              </w:rPr>
              <w:t>合计</w:t>
            </w:r>
          </w:p>
        </w:tc>
      </w:tr>
      <w:tr w14:paraId="6736147C">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5E5BF009">
            <w:pPr>
              <w:widowControl/>
              <w:jc w:val="center"/>
              <w:textAlignment w:val="center"/>
              <w:rPr>
                <w:rFonts w:ascii="Arial" w:hAnsi="Arial" w:cs="Arial"/>
                <w:b/>
                <w:bCs/>
                <w:color w:val="000000"/>
                <w:kern w:val="0"/>
                <w:sz w:val="18"/>
                <w:szCs w:val="20"/>
              </w:rPr>
            </w:pPr>
            <w:bookmarkStart w:id="67" w:name="OLE_LINK11" w:colFirst="12" w:colLast="12"/>
            <w:bookmarkStart w:id="68" w:name="OLE_LINK10" w:colFirst="1" w:colLast="11"/>
            <w:r>
              <w:rPr>
                <w:rFonts w:hint="eastAsia" w:ascii="宋体" w:hAnsi="宋体" w:cs="宋体"/>
                <w:b/>
                <w:bCs/>
                <w:color w:val="000000"/>
                <w:kern w:val="0"/>
                <w:sz w:val="20"/>
                <w:szCs w:val="20"/>
                <w:lang w:bidi="ar"/>
              </w:rPr>
              <w:t>一、资金流入</w:t>
            </w:r>
          </w:p>
        </w:tc>
        <w:tc>
          <w:tcPr>
            <w:tcW w:w="997" w:type="dxa"/>
            <w:shd w:val="clear" w:color="auto" w:fill="auto"/>
            <w:noWrap/>
            <w:vAlign w:val="center"/>
          </w:tcPr>
          <w:p w14:paraId="08147745">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17,753.00 </w:t>
            </w:r>
          </w:p>
        </w:tc>
        <w:tc>
          <w:tcPr>
            <w:tcW w:w="997" w:type="dxa"/>
            <w:shd w:val="clear" w:color="auto" w:fill="auto"/>
            <w:noWrap/>
            <w:vAlign w:val="center"/>
          </w:tcPr>
          <w:p w14:paraId="1430380F">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22,247.00 </w:t>
            </w:r>
          </w:p>
        </w:tc>
        <w:tc>
          <w:tcPr>
            <w:tcW w:w="896" w:type="dxa"/>
            <w:shd w:val="clear" w:color="auto" w:fill="auto"/>
            <w:noWrap/>
            <w:vAlign w:val="center"/>
          </w:tcPr>
          <w:p w14:paraId="18E34E73">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2,504.89 </w:t>
            </w:r>
          </w:p>
        </w:tc>
        <w:tc>
          <w:tcPr>
            <w:tcW w:w="896" w:type="dxa"/>
            <w:shd w:val="clear" w:color="auto" w:fill="auto"/>
            <w:noWrap/>
            <w:vAlign w:val="center"/>
          </w:tcPr>
          <w:p w14:paraId="634551B0">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2,688.04 </w:t>
            </w:r>
          </w:p>
        </w:tc>
        <w:tc>
          <w:tcPr>
            <w:tcW w:w="896" w:type="dxa"/>
            <w:shd w:val="clear" w:color="auto" w:fill="auto"/>
            <w:noWrap/>
            <w:vAlign w:val="center"/>
          </w:tcPr>
          <w:p w14:paraId="755BCAD0">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2,871.41 </w:t>
            </w:r>
          </w:p>
        </w:tc>
        <w:tc>
          <w:tcPr>
            <w:tcW w:w="896" w:type="dxa"/>
            <w:shd w:val="clear" w:color="auto" w:fill="auto"/>
            <w:noWrap/>
            <w:vAlign w:val="center"/>
          </w:tcPr>
          <w:p w14:paraId="5D8093C2">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2,871.41 </w:t>
            </w:r>
          </w:p>
        </w:tc>
        <w:tc>
          <w:tcPr>
            <w:tcW w:w="899" w:type="dxa"/>
            <w:shd w:val="clear" w:color="auto" w:fill="auto"/>
            <w:noWrap/>
            <w:vAlign w:val="center"/>
          </w:tcPr>
          <w:p w14:paraId="28B15F9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2,871.41 </w:t>
            </w:r>
          </w:p>
        </w:tc>
        <w:tc>
          <w:tcPr>
            <w:tcW w:w="899" w:type="dxa"/>
            <w:shd w:val="clear" w:color="auto" w:fill="auto"/>
            <w:noWrap/>
            <w:vAlign w:val="center"/>
          </w:tcPr>
          <w:p w14:paraId="37AD86E4">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2,871.41 </w:t>
            </w:r>
          </w:p>
        </w:tc>
        <w:tc>
          <w:tcPr>
            <w:tcW w:w="999" w:type="dxa"/>
            <w:shd w:val="clear" w:color="auto" w:fill="auto"/>
            <w:noWrap/>
            <w:vAlign w:val="center"/>
          </w:tcPr>
          <w:p w14:paraId="171C9A8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7,840.46 </w:t>
            </w:r>
          </w:p>
        </w:tc>
        <w:tc>
          <w:tcPr>
            <w:tcW w:w="999" w:type="dxa"/>
            <w:shd w:val="clear" w:color="auto" w:fill="auto"/>
            <w:noWrap/>
            <w:vAlign w:val="center"/>
          </w:tcPr>
          <w:p w14:paraId="3F618570">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8,802.22 </w:t>
            </w:r>
          </w:p>
        </w:tc>
        <w:tc>
          <w:tcPr>
            <w:tcW w:w="1000" w:type="dxa"/>
            <w:shd w:val="clear" w:color="auto" w:fill="auto"/>
            <w:noWrap/>
            <w:vAlign w:val="center"/>
          </w:tcPr>
          <w:p w14:paraId="1B48E358">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11,231.51 </w:t>
            </w:r>
          </w:p>
        </w:tc>
        <w:tc>
          <w:tcPr>
            <w:tcW w:w="987" w:type="dxa"/>
            <w:shd w:val="clear" w:color="auto" w:fill="auto"/>
            <w:noWrap/>
            <w:vAlign w:val="center"/>
          </w:tcPr>
          <w:p w14:paraId="56466FA6">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84,552.76 </w:t>
            </w:r>
          </w:p>
        </w:tc>
      </w:tr>
      <w:tr w14:paraId="7CED280C">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20BCC971">
            <w:pPr>
              <w:widowControl/>
              <w:jc w:val="center"/>
              <w:textAlignment w:val="center"/>
              <w:rPr>
                <w:rFonts w:ascii="Arial" w:hAnsi="Arial" w:cs="Arial"/>
                <w:color w:val="000000"/>
                <w:kern w:val="0"/>
                <w:sz w:val="18"/>
                <w:szCs w:val="20"/>
              </w:rPr>
            </w:pPr>
            <w:r>
              <w:rPr>
                <w:rFonts w:hint="eastAsia" w:ascii="宋体" w:hAnsi="宋体" w:cs="宋体"/>
                <w:color w:val="000000"/>
                <w:kern w:val="0"/>
                <w:sz w:val="20"/>
                <w:szCs w:val="20"/>
                <w:lang w:bidi="ar"/>
              </w:rPr>
              <w:t>项目资本金</w:t>
            </w:r>
          </w:p>
        </w:tc>
        <w:tc>
          <w:tcPr>
            <w:tcW w:w="997" w:type="dxa"/>
            <w:shd w:val="clear" w:color="auto" w:fill="auto"/>
            <w:noWrap/>
            <w:vAlign w:val="center"/>
          </w:tcPr>
          <w:p w14:paraId="0588B937">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7,753.00 </w:t>
            </w:r>
          </w:p>
        </w:tc>
        <w:tc>
          <w:tcPr>
            <w:tcW w:w="997" w:type="dxa"/>
            <w:shd w:val="clear" w:color="auto" w:fill="auto"/>
            <w:noWrap/>
            <w:vAlign w:val="center"/>
          </w:tcPr>
          <w:p w14:paraId="69361931">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12,247.00 </w:t>
            </w:r>
          </w:p>
        </w:tc>
        <w:tc>
          <w:tcPr>
            <w:tcW w:w="896" w:type="dxa"/>
            <w:shd w:val="clear" w:color="auto" w:fill="auto"/>
            <w:noWrap/>
            <w:vAlign w:val="center"/>
          </w:tcPr>
          <w:p w14:paraId="5B715F11">
            <w:pPr>
              <w:widowControl/>
              <w:jc w:val="center"/>
              <w:rPr>
                <w:rFonts w:ascii="Arial Narrow" w:hAnsi="Arial Narrow" w:cs="Arial"/>
                <w:color w:val="000000"/>
                <w:kern w:val="0"/>
                <w:sz w:val="18"/>
                <w:szCs w:val="18"/>
              </w:rPr>
            </w:pPr>
          </w:p>
        </w:tc>
        <w:tc>
          <w:tcPr>
            <w:tcW w:w="896" w:type="dxa"/>
            <w:shd w:val="clear" w:color="auto" w:fill="auto"/>
            <w:noWrap/>
            <w:vAlign w:val="center"/>
          </w:tcPr>
          <w:p w14:paraId="2758E917">
            <w:pPr>
              <w:widowControl/>
              <w:jc w:val="center"/>
              <w:rPr>
                <w:rFonts w:ascii="Arial Narrow" w:hAnsi="Arial Narrow" w:cs="Arial"/>
                <w:color w:val="000000"/>
                <w:kern w:val="0"/>
                <w:sz w:val="18"/>
                <w:szCs w:val="18"/>
              </w:rPr>
            </w:pPr>
          </w:p>
        </w:tc>
        <w:tc>
          <w:tcPr>
            <w:tcW w:w="896" w:type="dxa"/>
            <w:shd w:val="clear" w:color="auto" w:fill="auto"/>
            <w:noWrap/>
            <w:vAlign w:val="center"/>
          </w:tcPr>
          <w:p w14:paraId="18F2F000">
            <w:pPr>
              <w:widowControl/>
              <w:jc w:val="center"/>
              <w:rPr>
                <w:rFonts w:ascii="Arial Narrow" w:hAnsi="Arial Narrow" w:cs="Arial"/>
                <w:color w:val="000000"/>
                <w:kern w:val="0"/>
                <w:sz w:val="18"/>
                <w:szCs w:val="18"/>
              </w:rPr>
            </w:pPr>
          </w:p>
        </w:tc>
        <w:tc>
          <w:tcPr>
            <w:tcW w:w="896" w:type="dxa"/>
            <w:shd w:val="clear" w:color="auto" w:fill="auto"/>
            <w:noWrap/>
            <w:vAlign w:val="center"/>
          </w:tcPr>
          <w:p w14:paraId="3AEDDEE8">
            <w:pPr>
              <w:widowControl/>
              <w:jc w:val="center"/>
              <w:rPr>
                <w:rFonts w:ascii="Arial Narrow" w:hAnsi="Arial Narrow" w:cs="Arial"/>
                <w:color w:val="000000"/>
                <w:kern w:val="0"/>
                <w:sz w:val="18"/>
                <w:szCs w:val="18"/>
              </w:rPr>
            </w:pPr>
          </w:p>
        </w:tc>
        <w:tc>
          <w:tcPr>
            <w:tcW w:w="899" w:type="dxa"/>
            <w:shd w:val="clear" w:color="auto" w:fill="auto"/>
            <w:noWrap/>
            <w:vAlign w:val="center"/>
          </w:tcPr>
          <w:p w14:paraId="528D38E1">
            <w:pPr>
              <w:widowControl/>
              <w:jc w:val="center"/>
              <w:rPr>
                <w:rFonts w:ascii="Arial Narrow" w:hAnsi="Arial Narrow" w:cs="Arial"/>
                <w:color w:val="000000"/>
                <w:kern w:val="0"/>
                <w:sz w:val="18"/>
                <w:szCs w:val="18"/>
              </w:rPr>
            </w:pPr>
          </w:p>
        </w:tc>
        <w:tc>
          <w:tcPr>
            <w:tcW w:w="899" w:type="dxa"/>
            <w:shd w:val="clear" w:color="auto" w:fill="auto"/>
            <w:noWrap/>
            <w:vAlign w:val="center"/>
          </w:tcPr>
          <w:p w14:paraId="0ECBFE56">
            <w:pPr>
              <w:widowControl/>
              <w:jc w:val="center"/>
              <w:rPr>
                <w:rFonts w:ascii="Arial Narrow" w:hAnsi="Arial Narrow" w:cs="Arial"/>
                <w:color w:val="000000"/>
                <w:kern w:val="0"/>
                <w:sz w:val="18"/>
                <w:szCs w:val="18"/>
              </w:rPr>
            </w:pPr>
          </w:p>
        </w:tc>
        <w:tc>
          <w:tcPr>
            <w:tcW w:w="999" w:type="dxa"/>
            <w:shd w:val="clear" w:color="auto" w:fill="auto"/>
            <w:noWrap/>
            <w:vAlign w:val="center"/>
          </w:tcPr>
          <w:p w14:paraId="42E8E09D">
            <w:pPr>
              <w:widowControl/>
              <w:jc w:val="center"/>
              <w:rPr>
                <w:rFonts w:ascii="Arial Narrow" w:hAnsi="Arial Narrow" w:cs="Arial"/>
                <w:color w:val="000000"/>
                <w:kern w:val="0"/>
                <w:sz w:val="18"/>
                <w:szCs w:val="18"/>
              </w:rPr>
            </w:pPr>
          </w:p>
        </w:tc>
        <w:tc>
          <w:tcPr>
            <w:tcW w:w="999" w:type="dxa"/>
            <w:shd w:val="clear" w:color="auto" w:fill="auto"/>
            <w:noWrap/>
            <w:vAlign w:val="center"/>
          </w:tcPr>
          <w:p w14:paraId="7AFDC9CA">
            <w:pPr>
              <w:widowControl/>
              <w:jc w:val="center"/>
              <w:rPr>
                <w:rFonts w:ascii="Arial Narrow" w:hAnsi="Arial Narrow" w:cs="Arial"/>
                <w:color w:val="000000"/>
                <w:kern w:val="0"/>
                <w:sz w:val="18"/>
                <w:szCs w:val="18"/>
              </w:rPr>
            </w:pPr>
          </w:p>
        </w:tc>
        <w:tc>
          <w:tcPr>
            <w:tcW w:w="1000" w:type="dxa"/>
            <w:shd w:val="clear" w:color="auto" w:fill="auto"/>
            <w:noWrap/>
            <w:vAlign w:val="center"/>
          </w:tcPr>
          <w:p w14:paraId="753333A7">
            <w:pPr>
              <w:widowControl/>
              <w:jc w:val="center"/>
              <w:rPr>
                <w:rFonts w:ascii="Arial Narrow" w:hAnsi="Arial Narrow" w:cs="Arial"/>
                <w:color w:val="000000"/>
                <w:kern w:val="0"/>
                <w:sz w:val="18"/>
                <w:szCs w:val="18"/>
              </w:rPr>
            </w:pPr>
          </w:p>
        </w:tc>
        <w:tc>
          <w:tcPr>
            <w:tcW w:w="987" w:type="dxa"/>
            <w:shd w:val="clear" w:color="auto" w:fill="auto"/>
            <w:noWrap/>
            <w:vAlign w:val="center"/>
          </w:tcPr>
          <w:p w14:paraId="485195D0">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20,000.00 </w:t>
            </w:r>
          </w:p>
        </w:tc>
      </w:tr>
      <w:tr w14:paraId="5546EF26">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31264C3F">
            <w:pPr>
              <w:widowControl/>
              <w:jc w:val="center"/>
              <w:textAlignment w:val="center"/>
              <w:rPr>
                <w:rFonts w:ascii="Arial" w:hAnsi="Arial" w:cs="Arial"/>
                <w:color w:val="000000"/>
                <w:kern w:val="0"/>
                <w:sz w:val="18"/>
                <w:szCs w:val="20"/>
              </w:rPr>
            </w:pPr>
            <w:r>
              <w:rPr>
                <w:rFonts w:hint="eastAsia" w:ascii="宋体" w:hAnsi="宋体" w:cs="宋体"/>
                <w:color w:val="000000"/>
                <w:kern w:val="0"/>
                <w:sz w:val="20"/>
                <w:szCs w:val="20"/>
                <w:lang w:bidi="ar"/>
              </w:rPr>
              <w:t>债券资金</w:t>
            </w:r>
          </w:p>
        </w:tc>
        <w:tc>
          <w:tcPr>
            <w:tcW w:w="997" w:type="dxa"/>
            <w:shd w:val="clear" w:color="auto" w:fill="auto"/>
            <w:noWrap/>
            <w:vAlign w:val="center"/>
          </w:tcPr>
          <w:p w14:paraId="2547D857">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10,000.00 </w:t>
            </w:r>
          </w:p>
        </w:tc>
        <w:tc>
          <w:tcPr>
            <w:tcW w:w="997" w:type="dxa"/>
            <w:shd w:val="clear" w:color="auto" w:fill="auto"/>
            <w:noWrap/>
            <w:vAlign w:val="center"/>
          </w:tcPr>
          <w:p w14:paraId="50435812">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10,000.00 </w:t>
            </w:r>
          </w:p>
        </w:tc>
        <w:tc>
          <w:tcPr>
            <w:tcW w:w="896" w:type="dxa"/>
            <w:shd w:val="clear" w:color="auto" w:fill="auto"/>
            <w:noWrap/>
            <w:vAlign w:val="center"/>
          </w:tcPr>
          <w:p w14:paraId="42969BE8">
            <w:pPr>
              <w:widowControl/>
              <w:jc w:val="center"/>
              <w:rPr>
                <w:rFonts w:ascii="Arial Narrow" w:hAnsi="Arial Narrow" w:cs="Arial"/>
                <w:color w:val="000000"/>
                <w:kern w:val="0"/>
                <w:sz w:val="18"/>
                <w:szCs w:val="18"/>
              </w:rPr>
            </w:pPr>
          </w:p>
        </w:tc>
        <w:tc>
          <w:tcPr>
            <w:tcW w:w="896" w:type="dxa"/>
            <w:shd w:val="clear" w:color="auto" w:fill="auto"/>
            <w:noWrap/>
            <w:vAlign w:val="center"/>
          </w:tcPr>
          <w:p w14:paraId="26E7E64E">
            <w:pPr>
              <w:widowControl/>
              <w:jc w:val="center"/>
              <w:rPr>
                <w:rFonts w:ascii="Arial Narrow" w:hAnsi="Arial Narrow" w:cs="Arial"/>
                <w:color w:val="000000"/>
                <w:kern w:val="0"/>
                <w:sz w:val="18"/>
                <w:szCs w:val="18"/>
              </w:rPr>
            </w:pPr>
          </w:p>
        </w:tc>
        <w:tc>
          <w:tcPr>
            <w:tcW w:w="896" w:type="dxa"/>
            <w:shd w:val="clear" w:color="auto" w:fill="auto"/>
            <w:noWrap/>
            <w:vAlign w:val="center"/>
          </w:tcPr>
          <w:p w14:paraId="297AFBB4">
            <w:pPr>
              <w:widowControl/>
              <w:jc w:val="center"/>
              <w:rPr>
                <w:rFonts w:ascii="Arial Narrow" w:hAnsi="Arial Narrow" w:cs="Arial"/>
                <w:color w:val="000000"/>
                <w:kern w:val="0"/>
                <w:sz w:val="18"/>
                <w:szCs w:val="18"/>
              </w:rPr>
            </w:pPr>
          </w:p>
        </w:tc>
        <w:tc>
          <w:tcPr>
            <w:tcW w:w="896" w:type="dxa"/>
            <w:shd w:val="clear" w:color="auto" w:fill="auto"/>
            <w:noWrap/>
            <w:vAlign w:val="center"/>
          </w:tcPr>
          <w:p w14:paraId="6E16F929">
            <w:pPr>
              <w:widowControl/>
              <w:jc w:val="center"/>
              <w:rPr>
                <w:rFonts w:ascii="Arial Narrow" w:hAnsi="Arial Narrow" w:cs="Arial"/>
                <w:color w:val="000000"/>
                <w:kern w:val="0"/>
                <w:sz w:val="18"/>
                <w:szCs w:val="18"/>
              </w:rPr>
            </w:pPr>
          </w:p>
        </w:tc>
        <w:tc>
          <w:tcPr>
            <w:tcW w:w="899" w:type="dxa"/>
            <w:shd w:val="clear" w:color="auto" w:fill="auto"/>
            <w:noWrap/>
            <w:vAlign w:val="center"/>
          </w:tcPr>
          <w:p w14:paraId="026192C2">
            <w:pPr>
              <w:widowControl/>
              <w:jc w:val="center"/>
              <w:rPr>
                <w:rFonts w:ascii="Arial Narrow" w:hAnsi="Arial Narrow" w:cs="Arial"/>
                <w:color w:val="000000"/>
                <w:kern w:val="0"/>
                <w:sz w:val="18"/>
                <w:szCs w:val="18"/>
              </w:rPr>
            </w:pPr>
          </w:p>
        </w:tc>
        <w:tc>
          <w:tcPr>
            <w:tcW w:w="899" w:type="dxa"/>
            <w:shd w:val="clear" w:color="auto" w:fill="auto"/>
            <w:noWrap/>
            <w:vAlign w:val="center"/>
          </w:tcPr>
          <w:p w14:paraId="7447CF80">
            <w:pPr>
              <w:widowControl/>
              <w:jc w:val="center"/>
              <w:rPr>
                <w:rFonts w:ascii="Arial Narrow" w:hAnsi="Arial Narrow" w:cs="Arial"/>
                <w:color w:val="000000"/>
                <w:kern w:val="0"/>
                <w:sz w:val="18"/>
                <w:szCs w:val="18"/>
              </w:rPr>
            </w:pPr>
          </w:p>
        </w:tc>
        <w:tc>
          <w:tcPr>
            <w:tcW w:w="999" w:type="dxa"/>
            <w:shd w:val="clear" w:color="auto" w:fill="auto"/>
            <w:noWrap/>
            <w:vAlign w:val="center"/>
          </w:tcPr>
          <w:p w14:paraId="01F05618">
            <w:pPr>
              <w:widowControl/>
              <w:jc w:val="center"/>
              <w:rPr>
                <w:rFonts w:ascii="Arial Narrow" w:hAnsi="Arial Narrow" w:cs="Arial"/>
                <w:color w:val="000000"/>
                <w:kern w:val="0"/>
                <w:sz w:val="18"/>
                <w:szCs w:val="18"/>
              </w:rPr>
            </w:pPr>
          </w:p>
        </w:tc>
        <w:tc>
          <w:tcPr>
            <w:tcW w:w="999" w:type="dxa"/>
            <w:shd w:val="clear" w:color="auto" w:fill="auto"/>
            <w:noWrap/>
            <w:vAlign w:val="center"/>
          </w:tcPr>
          <w:p w14:paraId="7C23932F">
            <w:pPr>
              <w:widowControl/>
              <w:jc w:val="center"/>
              <w:rPr>
                <w:rFonts w:ascii="Arial Narrow" w:hAnsi="Arial Narrow" w:cs="Arial"/>
                <w:color w:val="000000"/>
                <w:kern w:val="0"/>
                <w:sz w:val="18"/>
                <w:szCs w:val="18"/>
              </w:rPr>
            </w:pPr>
          </w:p>
        </w:tc>
        <w:tc>
          <w:tcPr>
            <w:tcW w:w="1000" w:type="dxa"/>
            <w:shd w:val="clear" w:color="auto" w:fill="auto"/>
            <w:noWrap/>
            <w:vAlign w:val="center"/>
          </w:tcPr>
          <w:p w14:paraId="7BD26251">
            <w:pPr>
              <w:widowControl/>
              <w:jc w:val="center"/>
              <w:rPr>
                <w:rFonts w:ascii="Arial Narrow" w:hAnsi="Arial Narrow" w:cs="Arial"/>
                <w:color w:val="000000"/>
                <w:kern w:val="0"/>
                <w:sz w:val="18"/>
                <w:szCs w:val="18"/>
              </w:rPr>
            </w:pPr>
          </w:p>
        </w:tc>
        <w:tc>
          <w:tcPr>
            <w:tcW w:w="987" w:type="dxa"/>
            <w:shd w:val="clear" w:color="auto" w:fill="auto"/>
            <w:noWrap/>
            <w:vAlign w:val="center"/>
          </w:tcPr>
          <w:p w14:paraId="5112B217">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20,000.00 </w:t>
            </w:r>
          </w:p>
        </w:tc>
      </w:tr>
      <w:tr w14:paraId="039DA425">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1D5179FF">
            <w:pPr>
              <w:widowControl/>
              <w:jc w:val="center"/>
              <w:textAlignment w:val="center"/>
              <w:rPr>
                <w:rFonts w:hint="eastAsia" w:ascii="宋体" w:hAnsi="宋体" w:cs="宋体"/>
                <w:color w:val="000000"/>
                <w:kern w:val="0"/>
                <w:sz w:val="18"/>
                <w:szCs w:val="20"/>
              </w:rPr>
            </w:pPr>
            <w:r>
              <w:rPr>
                <w:rFonts w:hint="eastAsia" w:ascii="宋体" w:hAnsi="宋体" w:cs="宋体"/>
                <w:color w:val="000000"/>
                <w:kern w:val="0"/>
                <w:sz w:val="20"/>
                <w:szCs w:val="20"/>
                <w:lang w:bidi="ar"/>
              </w:rPr>
              <w:t>收入流入</w:t>
            </w:r>
          </w:p>
        </w:tc>
        <w:tc>
          <w:tcPr>
            <w:tcW w:w="997" w:type="dxa"/>
            <w:shd w:val="clear" w:color="auto" w:fill="auto"/>
            <w:noWrap/>
            <w:vAlign w:val="center"/>
          </w:tcPr>
          <w:p w14:paraId="59C1E268">
            <w:pPr>
              <w:widowControl/>
              <w:jc w:val="center"/>
              <w:textAlignment w:val="center"/>
              <w:rPr>
                <w:rFonts w:ascii="Arial Narrow" w:hAnsi="Arial Narrow" w:cs="Arial"/>
                <w:color w:val="FFFFFF"/>
                <w:kern w:val="0"/>
                <w:sz w:val="18"/>
                <w:szCs w:val="18"/>
              </w:rPr>
            </w:pPr>
            <w:r>
              <w:rPr>
                <w:rFonts w:ascii="Arial" w:hAnsi="Arial" w:cs="Arial"/>
                <w:color w:val="FFFFFF"/>
                <w:kern w:val="0"/>
                <w:sz w:val="18"/>
                <w:szCs w:val="18"/>
                <w:lang w:bidi="ar"/>
              </w:rPr>
              <w:t xml:space="preserve">-   </w:t>
            </w:r>
          </w:p>
        </w:tc>
        <w:tc>
          <w:tcPr>
            <w:tcW w:w="997" w:type="dxa"/>
            <w:shd w:val="clear" w:color="auto" w:fill="auto"/>
            <w:noWrap/>
            <w:vAlign w:val="center"/>
          </w:tcPr>
          <w:p w14:paraId="7E17A783">
            <w:pPr>
              <w:widowControl/>
              <w:jc w:val="center"/>
              <w:textAlignment w:val="center"/>
              <w:rPr>
                <w:rFonts w:ascii="Arial Narrow" w:hAnsi="Arial Narrow" w:cs="Arial"/>
                <w:color w:val="FFFFFF"/>
                <w:kern w:val="0"/>
                <w:sz w:val="18"/>
                <w:szCs w:val="18"/>
              </w:rPr>
            </w:pPr>
            <w:r>
              <w:rPr>
                <w:rFonts w:ascii="Arial" w:hAnsi="Arial" w:cs="Arial"/>
                <w:color w:val="FFFFFF"/>
                <w:kern w:val="0"/>
                <w:sz w:val="18"/>
                <w:szCs w:val="18"/>
                <w:lang w:bidi="ar"/>
              </w:rPr>
              <w:t xml:space="preserve">-   </w:t>
            </w:r>
          </w:p>
        </w:tc>
        <w:tc>
          <w:tcPr>
            <w:tcW w:w="896" w:type="dxa"/>
            <w:shd w:val="clear" w:color="auto" w:fill="auto"/>
            <w:noWrap/>
            <w:vAlign w:val="center"/>
          </w:tcPr>
          <w:p w14:paraId="6C8256D5">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2,504.89 </w:t>
            </w:r>
          </w:p>
        </w:tc>
        <w:tc>
          <w:tcPr>
            <w:tcW w:w="896" w:type="dxa"/>
            <w:shd w:val="clear" w:color="auto" w:fill="auto"/>
            <w:noWrap/>
            <w:vAlign w:val="center"/>
          </w:tcPr>
          <w:p w14:paraId="5F4A0829">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2,688.04 </w:t>
            </w:r>
          </w:p>
        </w:tc>
        <w:tc>
          <w:tcPr>
            <w:tcW w:w="896" w:type="dxa"/>
            <w:shd w:val="clear" w:color="auto" w:fill="auto"/>
            <w:noWrap/>
            <w:vAlign w:val="center"/>
          </w:tcPr>
          <w:p w14:paraId="3628048E">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2,871.41 </w:t>
            </w:r>
          </w:p>
        </w:tc>
        <w:tc>
          <w:tcPr>
            <w:tcW w:w="896" w:type="dxa"/>
            <w:shd w:val="clear" w:color="auto" w:fill="auto"/>
            <w:noWrap/>
            <w:vAlign w:val="center"/>
          </w:tcPr>
          <w:p w14:paraId="3843987F">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2,871.41 </w:t>
            </w:r>
          </w:p>
        </w:tc>
        <w:tc>
          <w:tcPr>
            <w:tcW w:w="899" w:type="dxa"/>
            <w:shd w:val="clear" w:color="auto" w:fill="auto"/>
            <w:noWrap/>
            <w:vAlign w:val="center"/>
          </w:tcPr>
          <w:p w14:paraId="143E22F8">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2,871.41 </w:t>
            </w:r>
          </w:p>
        </w:tc>
        <w:tc>
          <w:tcPr>
            <w:tcW w:w="899" w:type="dxa"/>
            <w:shd w:val="clear" w:color="auto" w:fill="auto"/>
            <w:noWrap/>
            <w:vAlign w:val="center"/>
          </w:tcPr>
          <w:p w14:paraId="2ED04DF9">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2,871.41 </w:t>
            </w:r>
          </w:p>
        </w:tc>
        <w:tc>
          <w:tcPr>
            <w:tcW w:w="999" w:type="dxa"/>
            <w:shd w:val="clear" w:color="auto" w:fill="auto"/>
            <w:noWrap/>
            <w:vAlign w:val="center"/>
          </w:tcPr>
          <w:p w14:paraId="084C270C">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7,840.46 </w:t>
            </w:r>
          </w:p>
        </w:tc>
        <w:tc>
          <w:tcPr>
            <w:tcW w:w="999" w:type="dxa"/>
            <w:shd w:val="clear" w:color="auto" w:fill="auto"/>
            <w:noWrap/>
            <w:vAlign w:val="center"/>
          </w:tcPr>
          <w:p w14:paraId="6C82A5D0">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8,802.22 </w:t>
            </w:r>
          </w:p>
        </w:tc>
        <w:tc>
          <w:tcPr>
            <w:tcW w:w="1000" w:type="dxa"/>
            <w:shd w:val="clear" w:color="auto" w:fill="auto"/>
            <w:noWrap/>
            <w:vAlign w:val="center"/>
          </w:tcPr>
          <w:p w14:paraId="6B200E14">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11,231.51 </w:t>
            </w:r>
          </w:p>
        </w:tc>
        <w:tc>
          <w:tcPr>
            <w:tcW w:w="987" w:type="dxa"/>
            <w:shd w:val="clear" w:color="auto" w:fill="auto"/>
            <w:noWrap/>
            <w:vAlign w:val="center"/>
          </w:tcPr>
          <w:p w14:paraId="47C8F64C">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44,552.76 </w:t>
            </w:r>
          </w:p>
        </w:tc>
      </w:tr>
      <w:tr w14:paraId="3CF6EB0F">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51AECD72">
            <w:pPr>
              <w:widowControl/>
              <w:jc w:val="center"/>
              <w:textAlignment w:val="center"/>
              <w:rPr>
                <w:rFonts w:ascii="Arial" w:hAnsi="Arial" w:cs="Arial"/>
                <w:b/>
                <w:bCs/>
                <w:color w:val="000000"/>
                <w:kern w:val="0"/>
                <w:sz w:val="18"/>
                <w:szCs w:val="20"/>
              </w:rPr>
            </w:pPr>
            <w:r>
              <w:rPr>
                <w:rFonts w:hint="eastAsia" w:ascii="宋体" w:hAnsi="宋体" w:cs="宋体"/>
                <w:b/>
                <w:bCs/>
                <w:color w:val="000000"/>
                <w:kern w:val="0"/>
                <w:sz w:val="20"/>
                <w:szCs w:val="20"/>
                <w:lang w:bidi="ar"/>
              </w:rPr>
              <w:t>二、资金流出</w:t>
            </w:r>
          </w:p>
        </w:tc>
        <w:tc>
          <w:tcPr>
            <w:tcW w:w="997" w:type="dxa"/>
            <w:shd w:val="clear" w:color="auto" w:fill="auto"/>
            <w:noWrap/>
            <w:vAlign w:val="center"/>
          </w:tcPr>
          <w:p w14:paraId="3A0C7C7C">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17,753.00 </w:t>
            </w:r>
          </w:p>
        </w:tc>
        <w:tc>
          <w:tcPr>
            <w:tcW w:w="997" w:type="dxa"/>
            <w:shd w:val="clear" w:color="auto" w:fill="auto"/>
            <w:noWrap/>
            <w:vAlign w:val="center"/>
          </w:tcPr>
          <w:p w14:paraId="0C10745F">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22,247.00 </w:t>
            </w:r>
          </w:p>
        </w:tc>
        <w:tc>
          <w:tcPr>
            <w:tcW w:w="896" w:type="dxa"/>
            <w:shd w:val="clear" w:color="auto" w:fill="auto"/>
            <w:noWrap/>
            <w:vAlign w:val="center"/>
          </w:tcPr>
          <w:p w14:paraId="6E4D1363">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1,425.79 </w:t>
            </w:r>
          </w:p>
        </w:tc>
        <w:tc>
          <w:tcPr>
            <w:tcW w:w="896" w:type="dxa"/>
            <w:shd w:val="clear" w:color="auto" w:fill="auto"/>
            <w:noWrap/>
            <w:vAlign w:val="center"/>
          </w:tcPr>
          <w:p w14:paraId="1DEDA39E">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1,451.43 </w:t>
            </w:r>
          </w:p>
        </w:tc>
        <w:tc>
          <w:tcPr>
            <w:tcW w:w="896" w:type="dxa"/>
            <w:shd w:val="clear" w:color="auto" w:fill="auto"/>
            <w:noWrap/>
            <w:vAlign w:val="center"/>
          </w:tcPr>
          <w:p w14:paraId="40AAB88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1,477.10 </w:t>
            </w:r>
          </w:p>
        </w:tc>
        <w:tc>
          <w:tcPr>
            <w:tcW w:w="896" w:type="dxa"/>
            <w:shd w:val="clear" w:color="auto" w:fill="auto"/>
            <w:noWrap/>
            <w:vAlign w:val="center"/>
          </w:tcPr>
          <w:p w14:paraId="707685A8">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1,479.10 </w:t>
            </w:r>
          </w:p>
        </w:tc>
        <w:tc>
          <w:tcPr>
            <w:tcW w:w="899" w:type="dxa"/>
            <w:shd w:val="clear" w:color="auto" w:fill="auto"/>
            <w:noWrap/>
            <w:vAlign w:val="center"/>
          </w:tcPr>
          <w:p w14:paraId="0DF28415">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1,479.10 </w:t>
            </w:r>
          </w:p>
        </w:tc>
        <w:tc>
          <w:tcPr>
            <w:tcW w:w="899" w:type="dxa"/>
            <w:shd w:val="clear" w:color="auto" w:fill="auto"/>
            <w:noWrap/>
            <w:vAlign w:val="center"/>
          </w:tcPr>
          <w:p w14:paraId="2BC1CB75">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1,479.10 </w:t>
            </w:r>
          </w:p>
        </w:tc>
        <w:tc>
          <w:tcPr>
            <w:tcW w:w="999" w:type="dxa"/>
            <w:shd w:val="clear" w:color="auto" w:fill="auto"/>
            <w:noWrap/>
            <w:vAlign w:val="center"/>
          </w:tcPr>
          <w:p w14:paraId="44A71953">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1,586.68 </w:t>
            </w:r>
          </w:p>
        </w:tc>
        <w:tc>
          <w:tcPr>
            <w:tcW w:w="999" w:type="dxa"/>
            <w:shd w:val="clear" w:color="auto" w:fill="auto"/>
            <w:noWrap/>
            <w:vAlign w:val="center"/>
          </w:tcPr>
          <w:p w14:paraId="59836C7A">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11,779.37 </w:t>
            </w:r>
          </w:p>
        </w:tc>
        <w:tc>
          <w:tcPr>
            <w:tcW w:w="1000" w:type="dxa"/>
            <w:shd w:val="clear" w:color="auto" w:fill="auto"/>
            <w:noWrap/>
            <w:vAlign w:val="center"/>
          </w:tcPr>
          <w:p w14:paraId="21E570A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12,446.31 </w:t>
            </w:r>
          </w:p>
        </w:tc>
        <w:tc>
          <w:tcPr>
            <w:tcW w:w="987" w:type="dxa"/>
            <w:shd w:val="clear" w:color="auto" w:fill="auto"/>
            <w:noWrap/>
            <w:vAlign w:val="center"/>
          </w:tcPr>
          <w:p w14:paraId="7A201C9F">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74,603.98 </w:t>
            </w:r>
          </w:p>
        </w:tc>
      </w:tr>
      <w:tr w14:paraId="22DD083E">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67A47C7B">
            <w:pPr>
              <w:widowControl/>
              <w:jc w:val="center"/>
              <w:textAlignment w:val="center"/>
              <w:rPr>
                <w:rFonts w:ascii="Arial" w:hAnsi="Arial" w:cs="Arial"/>
                <w:color w:val="000000"/>
                <w:kern w:val="0"/>
                <w:sz w:val="18"/>
                <w:szCs w:val="20"/>
              </w:rPr>
            </w:pPr>
            <w:r>
              <w:rPr>
                <w:rFonts w:hint="eastAsia" w:ascii="宋体" w:hAnsi="宋体" w:cs="宋体"/>
                <w:color w:val="000000"/>
                <w:kern w:val="0"/>
                <w:sz w:val="20"/>
                <w:szCs w:val="20"/>
                <w:lang w:bidi="ar"/>
              </w:rPr>
              <w:t>建设投资</w:t>
            </w:r>
          </w:p>
        </w:tc>
        <w:tc>
          <w:tcPr>
            <w:tcW w:w="997" w:type="dxa"/>
            <w:shd w:val="clear" w:color="auto" w:fill="auto"/>
            <w:noWrap/>
            <w:vAlign w:val="center"/>
          </w:tcPr>
          <w:p w14:paraId="2C487950">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17,403.00 </w:t>
            </w:r>
          </w:p>
        </w:tc>
        <w:tc>
          <w:tcPr>
            <w:tcW w:w="997" w:type="dxa"/>
            <w:shd w:val="clear" w:color="auto" w:fill="auto"/>
            <w:noWrap/>
            <w:vAlign w:val="center"/>
          </w:tcPr>
          <w:p w14:paraId="7362CADA">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21,547.00 </w:t>
            </w:r>
          </w:p>
        </w:tc>
        <w:tc>
          <w:tcPr>
            <w:tcW w:w="896" w:type="dxa"/>
            <w:shd w:val="clear" w:color="auto" w:fill="auto"/>
            <w:noWrap/>
            <w:vAlign w:val="center"/>
          </w:tcPr>
          <w:p w14:paraId="300CF067">
            <w:pPr>
              <w:widowControl/>
              <w:jc w:val="center"/>
              <w:rPr>
                <w:rFonts w:ascii="Arial Narrow" w:hAnsi="Arial Narrow" w:cs="Arial"/>
                <w:color w:val="FFFFFF"/>
                <w:kern w:val="0"/>
                <w:sz w:val="18"/>
                <w:szCs w:val="18"/>
              </w:rPr>
            </w:pPr>
          </w:p>
        </w:tc>
        <w:tc>
          <w:tcPr>
            <w:tcW w:w="896" w:type="dxa"/>
            <w:shd w:val="clear" w:color="auto" w:fill="auto"/>
            <w:noWrap/>
            <w:vAlign w:val="center"/>
          </w:tcPr>
          <w:p w14:paraId="7B6F65C6">
            <w:pPr>
              <w:widowControl/>
              <w:jc w:val="center"/>
              <w:rPr>
                <w:rFonts w:ascii="Arial Narrow" w:hAnsi="Arial Narrow" w:cs="Arial"/>
                <w:color w:val="FFFFFF"/>
                <w:kern w:val="0"/>
                <w:sz w:val="18"/>
                <w:szCs w:val="18"/>
              </w:rPr>
            </w:pPr>
          </w:p>
        </w:tc>
        <w:tc>
          <w:tcPr>
            <w:tcW w:w="896" w:type="dxa"/>
            <w:shd w:val="clear" w:color="auto" w:fill="auto"/>
            <w:noWrap/>
            <w:vAlign w:val="center"/>
          </w:tcPr>
          <w:p w14:paraId="7BA04C45">
            <w:pPr>
              <w:widowControl/>
              <w:jc w:val="center"/>
              <w:rPr>
                <w:rFonts w:ascii="Arial Narrow" w:hAnsi="Arial Narrow" w:cs="Arial"/>
                <w:color w:val="FFFFFF"/>
                <w:kern w:val="0"/>
                <w:sz w:val="18"/>
                <w:szCs w:val="18"/>
              </w:rPr>
            </w:pPr>
          </w:p>
        </w:tc>
        <w:tc>
          <w:tcPr>
            <w:tcW w:w="896" w:type="dxa"/>
            <w:shd w:val="clear" w:color="auto" w:fill="auto"/>
            <w:noWrap/>
            <w:vAlign w:val="center"/>
          </w:tcPr>
          <w:p w14:paraId="4F9AF045">
            <w:pPr>
              <w:widowControl/>
              <w:jc w:val="center"/>
              <w:rPr>
                <w:rFonts w:ascii="Arial Narrow" w:hAnsi="Arial Narrow" w:cs="Arial"/>
                <w:color w:val="FFFFFF"/>
                <w:kern w:val="0"/>
                <w:sz w:val="18"/>
                <w:szCs w:val="18"/>
              </w:rPr>
            </w:pPr>
          </w:p>
        </w:tc>
        <w:tc>
          <w:tcPr>
            <w:tcW w:w="899" w:type="dxa"/>
            <w:shd w:val="clear" w:color="auto" w:fill="auto"/>
            <w:noWrap/>
            <w:vAlign w:val="center"/>
          </w:tcPr>
          <w:p w14:paraId="060074FD">
            <w:pPr>
              <w:widowControl/>
              <w:jc w:val="center"/>
              <w:rPr>
                <w:rFonts w:ascii="Arial Narrow" w:hAnsi="Arial Narrow" w:cs="Arial"/>
                <w:color w:val="FFFFFF"/>
                <w:kern w:val="0"/>
                <w:sz w:val="18"/>
                <w:szCs w:val="18"/>
              </w:rPr>
            </w:pPr>
          </w:p>
        </w:tc>
        <w:tc>
          <w:tcPr>
            <w:tcW w:w="899" w:type="dxa"/>
            <w:shd w:val="clear" w:color="auto" w:fill="auto"/>
            <w:noWrap/>
            <w:vAlign w:val="center"/>
          </w:tcPr>
          <w:p w14:paraId="5A94D34B">
            <w:pPr>
              <w:widowControl/>
              <w:jc w:val="center"/>
              <w:rPr>
                <w:rFonts w:ascii="Arial Narrow" w:hAnsi="Arial Narrow" w:cs="Arial"/>
                <w:color w:val="FFFFFF"/>
                <w:kern w:val="0"/>
                <w:sz w:val="18"/>
                <w:szCs w:val="18"/>
              </w:rPr>
            </w:pPr>
          </w:p>
        </w:tc>
        <w:tc>
          <w:tcPr>
            <w:tcW w:w="999" w:type="dxa"/>
            <w:shd w:val="clear" w:color="auto" w:fill="auto"/>
            <w:noWrap/>
            <w:vAlign w:val="center"/>
          </w:tcPr>
          <w:p w14:paraId="1A7AC5BB">
            <w:pPr>
              <w:widowControl/>
              <w:jc w:val="center"/>
              <w:rPr>
                <w:rFonts w:ascii="Arial Narrow" w:hAnsi="Arial Narrow" w:cs="Arial"/>
                <w:color w:val="FFFFFF"/>
                <w:kern w:val="0"/>
                <w:sz w:val="18"/>
                <w:szCs w:val="18"/>
              </w:rPr>
            </w:pPr>
          </w:p>
        </w:tc>
        <w:tc>
          <w:tcPr>
            <w:tcW w:w="999" w:type="dxa"/>
            <w:shd w:val="clear" w:color="auto" w:fill="auto"/>
            <w:noWrap/>
            <w:vAlign w:val="center"/>
          </w:tcPr>
          <w:p w14:paraId="73005678">
            <w:pPr>
              <w:widowControl/>
              <w:jc w:val="center"/>
              <w:rPr>
                <w:rFonts w:ascii="Arial Narrow" w:hAnsi="Arial Narrow" w:cs="Arial"/>
                <w:color w:val="FFFFFF"/>
                <w:kern w:val="0"/>
                <w:sz w:val="18"/>
                <w:szCs w:val="18"/>
              </w:rPr>
            </w:pPr>
          </w:p>
        </w:tc>
        <w:tc>
          <w:tcPr>
            <w:tcW w:w="1000" w:type="dxa"/>
            <w:shd w:val="clear" w:color="auto" w:fill="auto"/>
            <w:noWrap/>
            <w:vAlign w:val="center"/>
          </w:tcPr>
          <w:p w14:paraId="6F023AFE">
            <w:pPr>
              <w:widowControl/>
              <w:jc w:val="center"/>
              <w:rPr>
                <w:rFonts w:ascii="Arial Narrow" w:hAnsi="Arial Narrow" w:cs="Arial"/>
                <w:color w:val="FFFFFF"/>
                <w:kern w:val="0"/>
                <w:sz w:val="18"/>
                <w:szCs w:val="18"/>
              </w:rPr>
            </w:pPr>
          </w:p>
        </w:tc>
        <w:tc>
          <w:tcPr>
            <w:tcW w:w="987" w:type="dxa"/>
            <w:shd w:val="clear" w:color="auto" w:fill="auto"/>
            <w:noWrap/>
            <w:vAlign w:val="center"/>
          </w:tcPr>
          <w:p w14:paraId="439E16C9">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38,950.00 </w:t>
            </w:r>
          </w:p>
        </w:tc>
      </w:tr>
      <w:tr w14:paraId="159304C4">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14920998">
            <w:pPr>
              <w:widowControl/>
              <w:jc w:val="center"/>
              <w:textAlignment w:val="center"/>
              <w:rPr>
                <w:rFonts w:ascii="Arial" w:hAnsi="Arial" w:cs="Arial"/>
                <w:color w:val="000000"/>
                <w:kern w:val="0"/>
                <w:sz w:val="18"/>
                <w:szCs w:val="20"/>
              </w:rPr>
            </w:pPr>
            <w:r>
              <w:rPr>
                <w:rFonts w:hint="eastAsia" w:ascii="宋体" w:hAnsi="宋体" w:cs="宋体"/>
                <w:color w:val="000000"/>
                <w:kern w:val="0"/>
                <w:sz w:val="20"/>
                <w:szCs w:val="20"/>
                <w:lang w:bidi="ar"/>
              </w:rPr>
              <w:t>经营成本</w:t>
            </w:r>
          </w:p>
        </w:tc>
        <w:tc>
          <w:tcPr>
            <w:tcW w:w="997" w:type="dxa"/>
            <w:shd w:val="clear" w:color="auto" w:fill="auto"/>
            <w:noWrap/>
            <w:vAlign w:val="center"/>
          </w:tcPr>
          <w:p w14:paraId="4186C23E">
            <w:pPr>
              <w:widowControl/>
              <w:jc w:val="center"/>
              <w:rPr>
                <w:rFonts w:ascii="Arial Narrow" w:hAnsi="Arial Narrow" w:cs="Arial"/>
                <w:color w:val="FFFFFF"/>
                <w:kern w:val="0"/>
                <w:sz w:val="18"/>
                <w:szCs w:val="18"/>
              </w:rPr>
            </w:pPr>
          </w:p>
        </w:tc>
        <w:tc>
          <w:tcPr>
            <w:tcW w:w="997" w:type="dxa"/>
            <w:shd w:val="clear" w:color="auto" w:fill="auto"/>
            <w:noWrap/>
            <w:vAlign w:val="center"/>
          </w:tcPr>
          <w:p w14:paraId="69D69CF0">
            <w:pPr>
              <w:widowControl/>
              <w:jc w:val="center"/>
              <w:textAlignment w:val="center"/>
              <w:rPr>
                <w:rFonts w:ascii="Arial Narrow" w:hAnsi="Arial Narrow" w:cs="Arial"/>
                <w:color w:val="FFFFFF"/>
                <w:kern w:val="0"/>
                <w:sz w:val="18"/>
                <w:szCs w:val="18"/>
              </w:rPr>
            </w:pPr>
            <w:r>
              <w:rPr>
                <w:rFonts w:ascii="Arial" w:hAnsi="Arial" w:cs="Arial"/>
                <w:color w:val="FFFFFF"/>
                <w:kern w:val="0"/>
                <w:sz w:val="18"/>
                <w:szCs w:val="18"/>
                <w:lang w:bidi="ar"/>
              </w:rPr>
              <w:t xml:space="preserve">-   </w:t>
            </w:r>
          </w:p>
        </w:tc>
        <w:tc>
          <w:tcPr>
            <w:tcW w:w="896" w:type="dxa"/>
            <w:shd w:val="clear" w:color="auto" w:fill="auto"/>
            <w:noWrap/>
            <w:vAlign w:val="center"/>
          </w:tcPr>
          <w:p w14:paraId="694F89E9">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596.86 </w:t>
            </w:r>
          </w:p>
        </w:tc>
        <w:tc>
          <w:tcPr>
            <w:tcW w:w="896" w:type="dxa"/>
            <w:shd w:val="clear" w:color="auto" w:fill="auto"/>
            <w:noWrap/>
            <w:vAlign w:val="center"/>
          </w:tcPr>
          <w:p w14:paraId="2B6AB0F9">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600.52 </w:t>
            </w:r>
          </w:p>
        </w:tc>
        <w:tc>
          <w:tcPr>
            <w:tcW w:w="896" w:type="dxa"/>
            <w:shd w:val="clear" w:color="auto" w:fill="auto"/>
            <w:noWrap/>
            <w:vAlign w:val="center"/>
          </w:tcPr>
          <w:p w14:paraId="37140791">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604.19 </w:t>
            </w:r>
          </w:p>
        </w:tc>
        <w:tc>
          <w:tcPr>
            <w:tcW w:w="896" w:type="dxa"/>
            <w:shd w:val="clear" w:color="auto" w:fill="auto"/>
            <w:noWrap/>
            <w:vAlign w:val="center"/>
          </w:tcPr>
          <w:p w14:paraId="1673079E">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606.19 </w:t>
            </w:r>
          </w:p>
        </w:tc>
        <w:tc>
          <w:tcPr>
            <w:tcW w:w="899" w:type="dxa"/>
            <w:shd w:val="clear" w:color="auto" w:fill="auto"/>
            <w:noWrap/>
            <w:vAlign w:val="center"/>
          </w:tcPr>
          <w:p w14:paraId="55F7E5E1">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606.19 </w:t>
            </w:r>
          </w:p>
        </w:tc>
        <w:tc>
          <w:tcPr>
            <w:tcW w:w="899" w:type="dxa"/>
            <w:shd w:val="clear" w:color="auto" w:fill="auto"/>
            <w:noWrap/>
            <w:vAlign w:val="center"/>
          </w:tcPr>
          <w:p w14:paraId="223ACC65">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606.19 </w:t>
            </w:r>
          </w:p>
        </w:tc>
        <w:tc>
          <w:tcPr>
            <w:tcW w:w="999" w:type="dxa"/>
            <w:shd w:val="clear" w:color="auto" w:fill="auto"/>
            <w:noWrap/>
            <w:vAlign w:val="center"/>
          </w:tcPr>
          <w:p w14:paraId="44C0087F">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707.57 </w:t>
            </w:r>
          </w:p>
        </w:tc>
        <w:tc>
          <w:tcPr>
            <w:tcW w:w="999" w:type="dxa"/>
            <w:shd w:val="clear" w:color="auto" w:fill="auto"/>
            <w:noWrap/>
            <w:vAlign w:val="center"/>
          </w:tcPr>
          <w:p w14:paraId="1612C6C2">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726.80 </w:t>
            </w:r>
          </w:p>
        </w:tc>
        <w:tc>
          <w:tcPr>
            <w:tcW w:w="1000" w:type="dxa"/>
            <w:shd w:val="clear" w:color="auto" w:fill="auto"/>
            <w:noWrap/>
            <w:vAlign w:val="center"/>
          </w:tcPr>
          <w:p w14:paraId="695FB30D">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775.39 </w:t>
            </w:r>
          </w:p>
        </w:tc>
        <w:tc>
          <w:tcPr>
            <w:tcW w:w="987" w:type="dxa"/>
            <w:shd w:val="clear" w:color="auto" w:fill="auto"/>
            <w:noWrap/>
            <w:vAlign w:val="center"/>
          </w:tcPr>
          <w:p w14:paraId="1764EADE">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5,829.90 </w:t>
            </w:r>
          </w:p>
        </w:tc>
      </w:tr>
      <w:tr w14:paraId="0954907B">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442A9CEF">
            <w:pPr>
              <w:widowControl/>
              <w:jc w:val="center"/>
              <w:textAlignment w:val="center"/>
              <w:rPr>
                <w:rFonts w:ascii="Arial" w:hAnsi="Arial" w:cs="Arial"/>
                <w:color w:val="000000"/>
                <w:kern w:val="0"/>
                <w:sz w:val="18"/>
                <w:szCs w:val="20"/>
              </w:rPr>
            </w:pPr>
            <w:r>
              <w:rPr>
                <w:rFonts w:hint="eastAsia" w:ascii="宋体" w:hAnsi="宋体" w:cs="宋体"/>
                <w:color w:val="000000"/>
                <w:kern w:val="0"/>
                <w:sz w:val="20"/>
                <w:szCs w:val="20"/>
                <w:lang w:bidi="ar"/>
              </w:rPr>
              <w:t>所得税费用</w:t>
            </w:r>
          </w:p>
        </w:tc>
        <w:tc>
          <w:tcPr>
            <w:tcW w:w="997" w:type="dxa"/>
            <w:shd w:val="clear" w:color="auto" w:fill="auto"/>
            <w:noWrap/>
            <w:vAlign w:val="center"/>
          </w:tcPr>
          <w:p w14:paraId="31D34C79">
            <w:pPr>
              <w:widowControl/>
              <w:jc w:val="center"/>
              <w:rPr>
                <w:rFonts w:ascii="Arial Narrow" w:hAnsi="Arial Narrow" w:cs="Arial"/>
                <w:color w:val="000000"/>
                <w:kern w:val="0"/>
                <w:sz w:val="18"/>
                <w:szCs w:val="18"/>
              </w:rPr>
            </w:pPr>
          </w:p>
        </w:tc>
        <w:tc>
          <w:tcPr>
            <w:tcW w:w="997" w:type="dxa"/>
            <w:shd w:val="clear" w:color="auto" w:fill="auto"/>
            <w:noWrap/>
            <w:vAlign w:val="center"/>
          </w:tcPr>
          <w:p w14:paraId="12299B05">
            <w:pPr>
              <w:widowControl/>
              <w:jc w:val="center"/>
              <w:rPr>
                <w:rFonts w:ascii="Arial Narrow" w:hAnsi="Arial Narrow" w:cs="Arial"/>
                <w:color w:val="000000"/>
                <w:kern w:val="0"/>
                <w:sz w:val="18"/>
                <w:szCs w:val="18"/>
              </w:rPr>
            </w:pPr>
          </w:p>
        </w:tc>
        <w:tc>
          <w:tcPr>
            <w:tcW w:w="896" w:type="dxa"/>
            <w:shd w:val="clear" w:color="auto" w:fill="auto"/>
            <w:noWrap/>
            <w:vAlign w:val="center"/>
          </w:tcPr>
          <w:p w14:paraId="612CD938">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896" w:type="dxa"/>
            <w:shd w:val="clear" w:color="auto" w:fill="auto"/>
            <w:noWrap/>
            <w:vAlign w:val="center"/>
          </w:tcPr>
          <w:p w14:paraId="10962159">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896" w:type="dxa"/>
            <w:shd w:val="clear" w:color="auto" w:fill="auto"/>
            <w:noWrap/>
            <w:vAlign w:val="center"/>
          </w:tcPr>
          <w:p w14:paraId="6A8A0B4D">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896" w:type="dxa"/>
            <w:shd w:val="clear" w:color="auto" w:fill="auto"/>
            <w:noWrap/>
            <w:vAlign w:val="center"/>
          </w:tcPr>
          <w:p w14:paraId="4CE07D1C">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899" w:type="dxa"/>
            <w:shd w:val="clear" w:color="auto" w:fill="auto"/>
            <w:noWrap/>
            <w:vAlign w:val="center"/>
          </w:tcPr>
          <w:p w14:paraId="5B2C89D7">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899" w:type="dxa"/>
            <w:shd w:val="clear" w:color="auto" w:fill="auto"/>
            <w:noWrap/>
            <w:vAlign w:val="center"/>
          </w:tcPr>
          <w:p w14:paraId="56B0E1CF">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999" w:type="dxa"/>
            <w:shd w:val="clear" w:color="auto" w:fill="auto"/>
            <w:noWrap/>
            <w:vAlign w:val="center"/>
          </w:tcPr>
          <w:p w14:paraId="5AD3A0D5">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   </w:t>
            </w:r>
          </w:p>
        </w:tc>
        <w:tc>
          <w:tcPr>
            <w:tcW w:w="999" w:type="dxa"/>
            <w:shd w:val="clear" w:color="auto" w:fill="auto"/>
            <w:noWrap/>
            <w:vAlign w:val="center"/>
          </w:tcPr>
          <w:p w14:paraId="03CDF508">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212.67 </w:t>
            </w:r>
          </w:p>
        </w:tc>
        <w:tc>
          <w:tcPr>
            <w:tcW w:w="1000" w:type="dxa"/>
            <w:shd w:val="clear" w:color="auto" w:fill="auto"/>
            <w:noWrap/>
            <w:vAlign w:val="center"/>
          </w:tcPr>
          <w:p w14:paraId="0F3DEBBB">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617.56 </w:t>
            </w:r>
          </w:p>
        </w:tc>
        <w:tc>
          <w:tcPr>
            <w:tcW w:w="987" w:type="dxa"/>
            <w:shd w:val="clear" w:color="auto" w:fill="auto"/>
            <w:noWrap/>
            <w:vAlign w:val="center"/>
          </w:tcPr>
          <w:p w14:paraId="558924C6">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830.23 </w:t>
            </w:r>
          </w:p>
        </w:tc>
      </w:tr>
      <w:tr w14:paraId="3E25BA39">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0C377C47">
            <w:pPr>
              <w:widowControl/>
              <w:jc w:val="center"/>
              <w:textAlignment w:val="center"/>
              <w:rPr>
                <w:rFonts w:hint="eastAsia" w:ascii="宋体" w:hAnsi="宋体" w:cs="宋体"/>
                <w:color w:val="000000"/>
                <w:kern w:val="0"/>
                <w:sz w:val="20"/>
                <w:szCs w:val="20"/>
                <w:lang w:bidi="ar"/>
              </w:rPr>
            </w:pPr>
            <w:r>
              <w:rPr>
                <w:rFonts w:hint="eastAsia" w:ascii="宋体" w:hAnsi="宋体" w:cs="宋体"/>
                <w:color w:val="000000"/>
                <w:kern w:val="0"/>
                <w:sz w:val="20"/>
                <w:szCs w:val="20"/>
                <w:lang w:bidi="ar"/>
              </w:rPr>
              <w:t>税金及附加</w:t>
            </w:r>
          </w:p>
        </w:tc>
        <w:tc>
          <w:tcPr>
            <w:tcW w:w="997" w:type="dxa"/>
            <w:shd w:val="clear" w:color="auto" w:fill="auto"/>
            <w:noWrap/>
            <w:vAlign w:val="center"/>
          </w:tcPr>
          <w:p w14:paraId="47A76F1B">
            <w:pPr>
              <w:widowControl/>
              <w:jc w:val="center"/>
              <w:rPr>
                <w:rFonts w:ascii="Arial" w:hAnsi="Arial" w:cs="Arial"/>
                <w:color w:val="000000"/>
                <w:kern w:val="0"/>
                <w:sz w:val="18"/>
                <w:szCs w:val="18"/>
                <w:lang w:bidi="ar"/>
              </w:rPr>
            </w:pPr>
          </w:p>
        </w:tc>
        <w:tc>
          <w:tcPr>
            <w:tcW w:w="997" w:type="dxa"/>
            <w:shd w:val="clear" w:color="auto" w:fill="auto"/>
            <w:noWrap/>
            <w:vAlign w:val="center"/>
          </w:tcPr>
          <w:p w14:paraId="7D5E4B4D">
            <w:pPr>
              <w:widowControl/>
              <w:jc w:val="center"/>
              <w:rPr>
                <w:rFonts w:ascii="Arial" w:hAnsi="Arial" w:cs="Arial"/>
                <w:color w:val="000000"/>
                <w:kern w:val="0"/>
                <w:sz w:val="18"/>
                <w:szCs w:val="18"/>
                <w:lang w:bidi="ar"/>
              </w:rPr>
            </w:pPr>
          </w:p>
        </w:tc>
        <w:tc>
          <w:tcPr>
            <w:tcW w:w="896" w:type="dxa"/>
            <w:shd w:val="clear" w:color="auto" w:fill="auto"/>
            <w:noWrap/>
            <w:vAlign w:val="center"/>
          </w:tcPr>
          <w:p w14:paraId="257BC9C7">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128.93</w:t>
            </w:r>
          </w:p>
        </w:tc>
        <w:tc>
          <w:tcPr>
            <w:tcW w:w="896" w:type="dxa"/>
            <w:shd w:val="clear" w:color="auto" w:fill="auto"/>
            <w:noWrap/>
            <w:vAlign w:val="center"/>
          </w:tcPr>
          <w:p w14:paraId="18F89410">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150.91</w:t>
            </w:r>
          </w:p>
        </w:tc>
        <w:tc>
          <w:tcPr>
            <w:tcW w:w="896" w:type="dxa"/>
            <w:shd w:val="clear" w:color="auto" w:fill="auto"/>
            <w:noWrap/>
            <w:vAlign w:val="center"/>
          </w:tcPr>
          <w:p w14:paraId="1354E934">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172.91</w:t>
            </w:r>
          </w:p>
        </w:tc>
        <w:tc>
          <w:tcPr>
            <w:tcW w:w="896" w:type="dxa"/>
            <w:shd w:val="clear" w:color="auto" w:fill="auto"/>
            <w:noWrap/>
            <w:vAlign w:val="center"/>
          </w:tcPr>
          <w:p w14:paraId="3B833CFE">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172.91</w:t>
            </w:r>
          </w:p>
        </w:tc>
        <w:tc>
          <w:tcPr>
            <w:tcW w:w="899" w:type="dxa"/>
            <w:shd w:val="clear" w:color="auto" w:fill="auto"/>
            <w:noWrap/>
            <w:vAlign w:val="center"/>
          </w:tcPr>
          <w:p w14:paraId="34C7B298">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172.91</w:t>
            </w:r>
          </w:p>
        </w:tc>
        <w:tc>
          <w:tcPr>
            <w:tcW w:w="899" w:type="dxa"/>
            <w:shd w:val="clear" w:color="auto" w:fill="auto"/>
            <w:noWrap/>
            <w:vAlign w:val="center"/>
          </w:tcPr>
          <w:p w14:paraId="6C1B2E48">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172.91</w:t>
            </w:r>
          </w:p>
        </w:tc>
        <w:tc>
          <w:tcPr>
            <w:tcW w:w="999" w:type="dxa"/>
            <w:shd w:val="clear" w:color="auto" w:fill="auto"/>
            <w:noWrap/>
            <w:vAlign w:val="center"/>
          </w:tcPr>
          <w:p w14:paraId="69CB81C8">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179.11</w:t>
            </w:r>
          </w:p>
        </w:tc>
        <w:tc>
          <w:tcPr>
            <w:tcW w:w="999" w:type="dxa"/>
            <w:shd w:val="clear" w:color="auto" w:fill="auto"/>
            <w:noWrap/>
            <w:vAlign w:val="center"/>
          </w:tcPr>
          <w:p w14:paraId="3F3EB8C9">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139.90</w:t>
            </w:r>
          </w:p>
        </w:tc>
        <w:tc>
          <w:tcPr>
            <w:tcW w:w="1000" w:type="dxa"/>
            <w:shd w:val="clear" w:color="auto" w:fill="auto"/>
            <w:noWrap/>
            <w:vAlign w:val="center"/>
          </w:tcPr>
          <w:p w14:paraId="6443DCC5">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703.36</w:t>
            </w:r>
          </w:p>
        </w:tc>
        <w:tc>
          <w:tcPr>
            <w:tcW w:w="987" w:type="dxa"/>
            <w:shd w:val="clear" w:color="auto" w:fill="auto"/>
            <w:noWrap/>
            <w:vAlign w:val="center"/>
          </w:tcPr>
          <w:p w14:paraId="1A796509">
            <w:pPr>
              <w:widowControl/>
              <w:jc w:val="center"/>
              <w:textAlignment w:val="center"/>
              <w:rPr>
                <w:rFonts w:ascii="Arial" w:hAnsi="Arial" w:cs="Arial"/>
                <w:color w:val="000000"/>
                <w:kern w:val="0"/>
                <w:sz w:val="18"/>
                <w:szCs w:val="18"/>
                <w:lang w:bidi="ar"/>
              </w:rPr>
            </w:pPr>
            <w:r>
              <w:rPr>
                <w:rFonts w:ascii="Arial" w:hAnsi="Arial" w:cs="Arial"/>
                <w:color w:val="000000"/>
                <w:kern w:val="0"/>
                <w:sz w:val="18"/>
                <w:szCs w:val="18"/>
                <w:lang w:bidi="ar"/>
              </w:rPr>
              <w:t>1,993.85</w:t>
            </w:r>
          </w:p>
        </w:tc>
      </w:tr>
      <w:tr w14:paraId="346997DA">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48660023">
            <w:pPr>
              <w:widowControl/>
              <w:jc w:val="center"/>
              <w:textAlignment w:val="center"/>
              <w:rPr>
                <w:rFonts w:hint="eastAsia" w:ascii="宋体" w:hAnsi="宋体" w:cs="宋体"/>
                <w:color w:val="000000"/>
                <w:kern w:val="0"/>
                <w:sz w:val="18"/>
                <w:szCs w:val="20"/>
              </w:rPr>
            </w:pPr>
            <w:r>
              <w:rPr>
                <w:rFonts w:hint="eastAsia" w:ascii="宋体" w:hAnsi="宋体" w:cs="宋体"/>
                <w:color w:val="000000"/>
                <w:kern w:val="0"/>
                <w:sz w:val="20"/>
                <w:szCs w:val="20"/>
                <w:lang w:bidi="ar"/>
              </w:rPr>
              <w:t>本息支出</w:t>
            </w:r>
          </w:p>
        </w:tc>
        <w:tc>
          <w:tcPr>
            <w:tcW w:w="997" w:type="dxa"/>
            <w:shd w:val="clear" w:color="auto" w:fill="auto"/>
            <w:noWrap/>
            <w:vAlign w:val="center"/>
          </w:tcPr>
          <w:p w14:paraId="0C2019FB">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350.00 </w:t>
            </w:r>
          </w:p>
        </w:tc>
        <w:tc>
          <w:tcPr>
            <w:tcW w:w="997" w:type="dxa"/>
            <w:shd w:val="clear" w:color="auto" w:fill="auto"/>
            <w:noWrap/>
            <w:vAlign w:val="center"/>
          </w:tcPr>
          <w:p w14:paraId="46916ECD">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5454864A">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49B09A3A">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171978A4">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4735EFB0">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899" w:type="dxa"/>
            <w:shd w:val="clear" w:color="auto" w:fill="auto"/>
            <w:noWrap/>
            <w:vAlign w:val="center"/>
          </w:tcPr>
          <w:p w14:paraId="7B39110B">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899" w:type="dxa"/>
            <w:shd w:val="clear" w:color="auto" w:fill="auto"/>
            <w:noWrap/>
            <w:vAlign w:val="center"/>
          </w:tcPr>
          <w:p w14:paraId="574FD898">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999" w:type="dxa"/>
            <w:shd w:val="clear" w:color="auto" w:fill="auto"/>
            <w:noWrap/>
            <w:vAlign w:val="center"/>
          </w:tcPr>
          <w:p w14:paraId="2D3513F7">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700.00 </w:t>
            </w:r>
          </w:p>
        </w:tc>
        <w:tc>
          <w:tcPr>
            <w:tcW w:w="999" w:type="dxa"/>
            <w:shd w:val="clear" w:color="auto" w:fill="auto"/>
            <w:noWrap/>
            <w:vAlign w:val="center"/>
          </w:tcPr>
          <w:p w14:paraId="684BAEEA">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10,700.00 </w:t>
            </w:r>
          </w:p>
        </w:tc>
        <w:tc>
          <w:tcPr>
            <w:tcW w:w="1000" w:type="dxa"/>
            <w:shd w:val="clear" w:color="auto" w:fill="auto"/>
            <w:noWrap/>
            <w:vAlign w:val="center"/>
          </w:tcPr>
          <w:p w14:paraId="3A822C16">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10,350.00 </w:t>
            </w:r>
          </w:p>
        </w:tc>
        <w:tc>
          <w:tcPr>
            <w:tcW w:w="987" w:type="dxa"/>
            <w:shd w:val="clear" w:color="auto" w:fill="auto"/>
            <w:noWrap/>
            <w:vAlign w:val="center"/>
          </w:tcPr>
          <w:p w14:paraId="2EE2231B">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27,000.00 </w:t>
            </w:r>
          </w:p>
        </w:tc>
      </w:tr>
      <w:tr w14:paraId="4FC7E9A7">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51F36641">
            <w:pPr>
              <w:widowControl/>
              <w:jc w:val="center"/>
              <w:textAlignment w:val="center"/>
              <w:rPr>
                <w:rFonts w:hint="eastAsia" w:ascii="宋体" w:hAnsi="宋体" w:cs="宋体"/>
                <w:color w:val="000000"/>
                <w:kern w:val="0"/>
                <w:sz w:val="18"/>
                <w:szCs w:val="20"/>
              </w:rPr>
            </w:pPr>
            <w:r>
              <w:rPr>
                <w:rFonts w:hint="eastAsia" w:ascii="宋体" w:hAnsi="宋体" w:cs="宋体"/>
                <w:color w:val="000000"/>
                <w:kern w:val="0"/>
                <w:sz w:val="20"/>
                <w:szCs w:val="20"/>
                <w:lang w:bidi="ar"/>
              </w:rPr>
              <w:t>其中：支付本金</w:t>
            </w:r>
          </w:p>
        </w:tc>
        <w:tc>
          <w:tcPr>
            <w:tcW w:w="997" w:type="dxa"/>
            <w:shd w:val="clear" w:color="auto" w:fill="auto"/>
            <w:noWrap/>
            <w:vAlign w:val="center"/>
          </w:tcPr>
          <w:p w14:paraId="01A6A036">
            <w:pPr>
              <w:widowControl/>
              <w:jc w:val="center"/>
              <w:rPr>
                <w:rFonts w:ascii="Arial Narrow" w:hAnsi="Arial Narrow" w:cs="Arial"/>
                <w:color w:val="000000"/>
                <w:kern w:val="0"/>
                <w:sz w:val="18"/>
                <w:szCs w:val="18"/>
              </w:rPr>
            </w:pPr>
          </w:p>
        </w:tc>
        <w:tc>
          <w:tcPr>
            <w:tcW w:w="997" w:type="dxa"/>
            <w:shd w:val="clear" w:color="auto" w:fill="auto"/>
            <w:noWrap/>
            <w:vAlign w:val="center"/>
          </w:tcPr>
          <w:p w14:paraId="705CEDDD">
            <w:pPr>
              <w:widowControl/>
              <w:jc w:val="center"/>
              <w:rPr>
                <w:rFonts w:ascii="Arial Narrow" w:hAnsi="Arial Narrow" w:cs="Arial"/>
                <w:color w:val="000000"/>
                <w:kern w:val="0"/>
                <w:sz w:val="18"/>
                <w:szCs w:val="18"/>
              </w:rPr>
            </w:pPr>
          </w:p>
        </w:tc>
        <w:tc>
          <w:tcPr>
            <w:tcW w:w="896" w:type="dxa"/>
            <w:shd w:val="clear" w:color="auto" w:fill="auto"/>
            <w:noWrap/>
            <w:vAlign w:val="center"/>
          </w:tcPr>
          <w:p w14:paraId="381E249C">
            <w:pPr>
              <w:widowControl/>
              <w:jc w:val="center"/>
              <w:rPr>
                <w:rFonts w:ascii="Arial Narrow" w:hAnsi="Arial Narrow" w:cs="Arial"/>
                <w:color w:val="000000"/>
                <w:kern w:val="0"/>
                <w:sz w:val="18"/>
                <w:szCs w:val="18"/>
              </w:rPr>
            </w:pPr>
          </w:p>
        </w:tc>
        <w:tc>
          <w:tcPr>
            <w:tcW w:w="896" w:type="dxa"/>
            <w:shd w:val="clear" w:color="auto" w:fill="auto"/>
            <w:noWrap/>
            <w:vAlign w:val="center"/>
          </w:tcPr>
          <w:p w14:paraId="776F3448">
            <w:pPr>
              <w:widowControl/>
              <w:jc w:val="center"/>
              <w:rPr>
                <w:rFonts w:ascii="Arial Narrow" w:hAnsi="Arial Narrow" w:cs="Arial"/>
                <w:color w:val="000000"/>
                <w:kern w:val="0"/>
                <w:sz w:val="18"/>
                <w:szCs w:val="18"/>
              </w:rPr>
            </w:pPr>
          </w:p>
        </w:tc>
        <w:tc>
          <w:tcPr>
            <w:tcW w:w="896" w:type="dxa"/>
            <w:shd w:val="clear" w:color="auto" w:fill="auto"/>
            <w:noWrap/>
            <w:vAlign w:val="center"/>
          </w:tcPr>
          <w:p w14:paraId="0035B688">
            <w:pPr>
              <w:widowControl/>
              <w:jc w:val="center"/>
              <w:rPr>
                <w:rFonts w:ascii="Arial Narrow" w:hAnsi="Arial Narrow" w:cs="Arial"/>
                <w:color w:val="000000"/>
                <w:kern w:val="0"/>
                <w:sz w:val="18"/>
                <w:szCs w:val="18"/>
              </w:rPr>
            </w:pPr>
          </w:p>
        </w:tc>
        <w:tc>
          <w:tcPr>
            <w:tcW w:w="896" w:type="dxa"/>
            <w:shd w:val="clear" w:color="auto" w:fill="auto"/>
            <w:noWrap/>
            <w:vAlign w:val="center"/>
          </w:tcPr>
          <w:p w14:paraId="27A82300">
            <w:pPr>
              <w:widowControl/>
              <w:jc w:val="center"/>
              <w:rPr>
                <w:rFonts w:ascii="Arial Narrow" w:hAnsi="Arial Narrow" w:cs="Arial"/>
                <w:color w:val="000000"/>
                <w:kern w:val="0"/>
                <w:sz w:val="18"/>
                <w:szCs w:val="18"/>
              </w:rPr>
            </w:pPr>
          </w:p>
        </w:tc>
        <w:tc>
          <w:tcPr>
            <w:tcW w:w="899" w:type="dxa"/>
            <w:shd w:val="clear" w:color="auto" w:fill="auto"/>
            <w:noWrap/>
            <w:vAlign w:val="center"/>
          </w:tcPr>
          <w:p w14:paraId="78537530">
            <w:pPr>
              <w:widowControl/>
              <w:jc w:val="center"/>
              <w:rPr>
                <w:rFonts w:ascii="Arial Narrow" w:hAnsi="Arial Narrow" w:cs="Arial"/>
                <w:color w:val="000000"/>
                <w:kern w:val="0"/>
                <w:sz w:val="18"/>
                <w:szCs w:val="18"/>
              </w:rPr>
            </w:pPr>
          </w:p>
        </w:tc>
        <w:tc>
          <w:tcPr>
            <w:tcW w:w="899" w:type="dxa"/>
            <w:shd w:val="clear" w:color="auto" w:fill="auto"/>
            <w:noWrap/>
            <w:vAlign w:val="center"/>
          </w:tcPr>
          <w:p w14:paraId="34C3B7E3">
            <w:pPr>
              <w:widowControl/>
              <w:jc w:val="center"/>
              <w:rPr>
                <w:rFonts w:ascii="Arial Narrow" w:hAnsi="Arial Narrow" w:cs="Arial"/>
                <w:color w:val="000000"/>
                <w:kern w:val="0"/>
                <w:sz w:val="18"/>
                <w:szCs w:val="18"/>
              </w:rPr>
            </w:pPr>
          </w:p>
        </w:tc>
        <w:tc>
          <w:tcPr>
            <w:tcW w:w="999" w:type="dxa"/>
            <w:shd w:val="clear" w:color="auto" w:fill="auto"/>
            <w:noWrap/>
            <w:vAlign w:val="center"/>
          </w:tcPr>
          <w:p w14:paraId="53724645">
            <w:pPr>
              <w:widowControl/>
              <w:jc w:val="center"/>
              <w:rPr>
                <w:rFonts w:ascii="Arial Narrow" w:hAnsi="Arial Narrow" w:cs="Arial"/>
                <w:color w:val="000000"/>
                <w:kern w:val="0"/>
                <w:sz w:val="18"/>
                <w:szCs w:val="18"/>
              </w:rPr>
            </w:pPr>
          </w:p>
        </w:tc>
        <w:tc>
          <w:tcPr>
            <w:tcW w:w="999" w:type="dxa"/>
            <w:shd w:val="clear" w:color="auto" w:fill="auto"/>
            <w:noWrap/>
            <w:vAlign w:val="center"/>
          </w:tcPr>
          <w:p w14:paraId="61FEB7DB">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10,000.00 </w:t>
            </w:r>
          </w:p>
        </w:tc>
        <w:tc>
          <w:tcPr>
            <w:tcW w:w="1000" w:type="dxa"/>
            <w:shd w:val="clear" w:color="auto" w:fill="auto"/>
            <w:noWrap/>
            <w:vAlign w:val="center"/>
          </w:tcPr>
          <w:p w14:paraId="03E030E4">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10,000.00 </w:t>
            </w:r>
          </w:p>
        </w:tc>
        <w:tc>
          <w:tcPr>
            <w:tcW w:w="987" w:type="dxa"/>
            <w:shd w:val="clear" w:color="auto" w:fill="auto"/>
            <w:noWrap/>
            <w:vAlign w:val="center"/>
          </w:tcPr>
          <w:p w14:paraId="4AC0569F">
            <w:pPr>
              <w:widowControl/>
              <w:jc w:val="center"/>
              <w:textAlignment w:val="center"/>
              <w:rPr>
                <w:rFonts w:ascii="Arial Narrow" w:hAnsi="Arial Narrow" w:cs="Arial"/>
                <w:color w:val="000000"/>
                <w:kern w:val="0"/>
                <w:sz w:val="18"/>
                <w:szCs w:val="18"/>
              </w:rPr>
            </w:pPr>
            <w:r>
              <w:rPr>
                <w:rFonts w:ascii="Arial" w:hAnsi="Arial" w:cs="Arial"/>
                <w:color w:val="000000"/>
                <w:kern w:val="0"/>
                <w:sz w:val="18"/>
                <w:szCs w:val="18"/>
                <w:lang w:bidi="ar"/>
              </w:rPr>
              <w:t xml:space="preserve">20,000.00 </w:t>
            </w:r>
          </w:p>
        </w:tc>
      </w:tr>
      <w:tr w14:paraId="3C017FB6">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435B87FB">
            <w:pPr>
              <w:widowControl/>
              <w:jc w:val="center"/>
              <w:textAlignment w:val="center"/>
              <w:rPr>
                <w:rFonts w:hint="eastAsia" w:ascii="宋体" w:hAnsi="宋体" w:cs="Arial"/>
                <w:b/>
                <w:bCs/>
                <w:color w:val="000000"/>
                <w:kern w:val="0"/>
                <w:sz w:val="18"/>
                <w:szCs w:val="20"/>
              </w:rPr>
            </w:pPr>
            <w:r>
              <w:rPr>
                <w:rFonts w:hint="eastAsia" w:ascii="宋体" w:hAnsi="宋体" w:cs="宋体"/>
                <w:color w:val="000000"/>
                <w:kern w:val="0"/>
                <w:sz w:val="20"/>
                <w:szCs w:val="20"/>
                <w:lang w:bidi="ar"/>
              </w:rPr>
              <w:t>其中：支付利息</w:t>
            </w:r>
          </w:p>
        </w:tc>
        <w:tc>
          <w:tcPr>
            <w:tcW w:w="997" w:type="dxa"/>
            <w:shd w:val="clear" w:color="auto" w:fill="auto"/>
            <w:noWrap/>
            <w:vAlign w:val="center"/>
          </w:tcPr>
          <w:p w14:paraId="297C79A2">
            <w:pPr>
              <w:widowControl/>
              <w:jc w:val="center"/>
              <w:textAlignment w:val="center"/>
              <w:rPr>
                <w:rFonts w:ascii="Arial" w:hAnsi="Arial" w:cs="Arial"/>
                <w:b/>
                <w:bCs/>
                <w:color w:val="FFFFFF"/>
                <w:kern w:val="0"/>
                <w:sz w:val="18"/>
                <w:szCs w:val="18"/>
                <w:lang w:bidi="ar"/>
              </w:rPr>
            </w:pPr>
            <w:r>
              <w:rPr>
                <w:rFonts w:ascii="Arial" w:hAnsi="Arial" w:cs="Arial"/>
                <w:color w:val="000000"/>
                <w:kern w:val="0"/>
                <w:sz w:val="18"/>
                <w:szCs w:val="18"/>
                <w:lang w:bidi="ar"/>
              </w:rPr>
              <w:t xml:space="preserve">350.00 </w:t>
            </w:r>
          </w:p>
        </w:tc>
        <w:tc>
          <w:tcPr>
            <w:tcW w:w="997" w:type="dxa"/>
            <w:shd w:val="clear" w:color="auto" w:fill="auto"/>
            <w:noWrap/>
            <w:vAlign w:val="center"/>
          </w:tcPr>
          <w:p w14:paraId="27530056">
            <w:pPr>
              <w:widowControl/>
              <w:jc w:val="center"/>
              <w:textAlignment w:val="center"/>
              <w:rPr>
                <w:rFonts w:ascii="Arial" w:hAnsi="Arial" w:cs="Arial"/>
                <w:b/>
                <w:bCs/>
                <w:color w:val="FFFFFF"/>
                <w:kern w:val="0"/>
                <w:sz w:val="18"/>
                <w:szCs w:val="18"/>
                <w:lang w:bidi="ar"/>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3640BDD5">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6CBF5F01">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04ACA646">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896" w:type="dxa"/>
            <w:shd w:val="clear" w:color="auto" w:fill="auto"/>
            <w:noWrap/>
            <w:vAlign w:val="center"/>
          </w:tcPr>
          <w:p w14:paraId="6E73771C">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899" w:type="dxa"/>
            <w:shd w:val="clear" w:color="auto" w:fill="auto"/>
            <w:noWrap/>
            <w:vAlign w:val="center"/>
          </w:tcPr>
          <w:p w14:paraId="5EAD6967">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899" w:type="dxa"/>
            <w:shd w:val="clear" w:color="auto" w:fill="auto"/>
            <w:noWrap/>
            <w:vAlign w:val="center"/>
          </w:tcPr>
          <w:p w14:paraId="3DB1748D">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999" w:type="dxa"/>
            <w:shd w:val="clear" w:color="auto" w:fill="auto"/>
            <w:noWrap/>
            <w:vAlign w:val="center"/>
          </w:tcPr>
          <w:p w14:paraId="5BD120C9">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999" w:type="dxa"/>
            <w:shd w:val="clear" w:color="auto" w:fill="auto"/>
            <w:noWrap/>
            <w:vAlign w:val="center"/>
          </w:tcPr>
          <w:p w14:paraId="00E39784">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 </w:t>
            </w:r>
          </w:p>
        </w:tc>
        <w:tc>
          <w:tcPr>
            <w:tcW w:w="1000" w:type="dxa"/>
            <w:shd w:val="clear" w:color="auto" w:fill="auto"/>
            <w:noWrap/>
            <w:vAlign w:val="center"/>
          </w:tcPr>
          <w:p w14:paraId="363843EC">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350.00 </w:t>
            </w:r>
          </w:p>
        </w:tc>
        <w:tc>
          <w:tcPr>
            <w:tcW w:w="987" w:type="dxa"/>
            <w:shd w:val="clear" w:color="auto" w:fill="auto"/>
            <w:noWrap/>
            <w:vAlign w:val="center"/>
          </w:tcPr>
          <w:p w14:paraId="27928B94">
            <w:pPr>
              <w:widowControl/>
              <w:jc w:val="center"/>
              <w:textAlignment w:val="center"/>
              <w:rPr>
                <w:rFonts w:ascii="Arial" w:hAnsi="Arial" w:cs="Arial"/>
                <w:b/>
                <w:bCs/>
                <w:color w:val="000000"/>
                <w:kern w:val="0"/>
                <w:sz w:val="18"/>
                <w:szCs w:val="18"/>
                <w:lang w:bidi="ar"/>
              </w:rPr>
            </w:pPr>
            <w:r>
              <w:rPr>
                <w:rFonts w:ascii="Arial" w:hAnsi="Arial" w:cs="Arial"/>
                <w:color w:val="000000"/>
                <w:kern w:val="0"/>
                <w:sz w:val="18"/>
                <w:szCs w:val="18"/>
                <w:lang w:bidi="ar"/>
              </w:rPr>
              <w:t xml:space="preserve">7,000.00 </w:t>
            </w:r>
          </w:p>
        </w:tc>
      </w:tr>
      <w:tr w14:paraId="03184EE6">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208D45E1">
            <w:pPr>
              <w:widowControl/>
              <w:jc w:val="center"/>
              <w:textAlignment w:val="center"/>
              <w:rPr>
                <w:rFonts w:ascii="Arial" w:hAnsi="Arial" w:cs="Arial"/>
                <w:b/>
                <w:bCs/>
                <w:color w:val="000000"/>
                <w:kern w:val="0"/>
                <w:sz w:val="18"/>
                <w:szCs w:val="20"/>
              </w:rPr>
            </w:pPr>
            <w:r>
              <w:rPr>
                <w:rFonts w:hint="eastAsia" w:ascii="宋体" w:hAnsi="宋体" w:cs="宋体"/>
                <w:b/>
                <w:bCs/>
                <w:color w:val="000000"/>
                <w:kern w:val="0"/>
                <w:sz w:val="20"/>
                <w:szCs w:val="20"/>
                <w:lang w:bidi="ar"/>
              </w:rPr>
              <w:t>三、现金流净额</w:t>
            </w:r>
          </w:p>
        </w:tc>
        <w:tc>
          <w:tcPr>
            <w:tcW w:w="997" w:type="dxa"/>
            <w:shd w:val="clear" w:color="auto" w:fill="auto"/>
            <w:noWrap/>
            <w:vAlign w:val="center"/>
          </w:tcPr>
          <w:p w14:paraId="66BE9DA1">
            <w:pPr>
              <w:widowControl/>
              <w:jc w:val="center"/>
              <w:textAlignment w:val="center"/>
              <w:rPr>
                <w:rFonts w:ascii="Arial Narrow" w:hAnsi="Arial Narrow" w:cs="Arial"/>
                <w:b/>
                <w:bCs/>
                <w:color w:val="FFFFFF"/>
                <w:kern w:val="0"/>
                <w:sz w:val="18"/>
                <w:szCs w:val="18"/>
              </w:rPr>
            </w:pPr>
            <w:r>
              <w:rPr>
                <w:rFonts w:ascii="Arial" w:hAnsi="Arial" w:cs="Arial"/>
                <w:b/>
                <w:bCs/>
                <w:color w:val="FFFFFF"/>
                <w:kern w:val="0"/>
                <w:sz w:val="18"/>
                <w:szCs w:val="18"/>
                <w:lang w:bidi="ar"/>
              </w:rPr>
              <w:t xml:space="preserve">-   </w:t>
            </w:r>
          </w:p>
        </w:tc>
        <w:tc>
          <w:tcPr>
            <w:tcW w:w="997" w:type="dxa"/>
            <w:shd w:val="clear" w:color="auto" w:fill="auto"/>
            <w:noWrap/>
            <w:vAlign w:val="center"/>
          </w:tcPr>
          <w:p w14:paraId="39B221F9">
            <w:pPr>
              <w:widowControl/>
              <w:jc w:val="center"/>
              <w:textAlignment w:val="center"/>
              <w:rPr>
                <w:rFonts w:ascii="Arial Narrow" w:hAnsi="Arial Narrow" w:cs="Arial"/>
                <w:b/>
                <w:bCs/>
                <w:color w:val="FFFFFF"/>
                <w:kern w:val="0"/>
                <w:sz w:val="18"/>
                <w:szCs w:val="18"/>
              </w:rPr>
            </w:pPr>
            <w:r>
              <w:rPr>
                <w:rFonts w:ascii="Arial" w:hAnsi="Arial" w:cs="Arial"/>
                <w:b/>
                <w:bCs/>
                <w:color w:val="FFFFFF"/>
                <w:kern w:val="0"/>
                <w:sz w:val="18"/>
                <w:szCs w:val="18"/>
                <w:lang w:bidi="ar"/>
              </w:rPr>
              <w:t xml:space="preserve">-   </w:t>
            </w:r>
          </w:p>
        </w:tc>
        <w:tc>
          <w:tcPr>
            <w:tcW w:w="896" w:type="dxa"/>
            <w:shd w:val="clear" w:color="auto" w:fill="auto"/>
            <w:noWrap/>
            <w:vAlign w:val="center"/>
          </w:tcPr>
          <w:p w14:paraId="01CE2A4C">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1,079.10 </w:t>
            </w:r>
          </w:p>
        </w:tc>
        <w:tc>
          <w:tcPr>
            <w:tcW w:w="896" w:type="dxa"/>
            <w:shd w:val="clear" w:color="auto" w:fill="auto"/>
            <w:noWrap/>
            <w:vAlign w:val="center"/>
          </w:tcPr>
          <w:p w14:paraId="5D395B1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1,236.61 </w:t>
            </w:r>
          </w:p>
        </w:tc>
        <w:tc>
          <w:tcPr>
            <w:tcW w:w="896" w:type="dxa"/>
            <w:shd w:val="clear" w:color="auto" w:fill="auto"/>
            <w:noWrap/>
            <w:vAlign w:val="center"/>
          </w:tcPr>
          <w:p w14:paraId="7C690F2C">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1,394.31 </w:t>
            </w:r>
          </w:p>
        </w:tc>
        <w:tc>
          <w:tcPr>
            <w:tcW w:w="896" w:type="dxa"/>
            <w:shd w:val="clear" w:color="auto" w:fill="auto"/>
            <w:noWrap/>
            <w:vAlign w:val="center"/>
          </w:tcPr>
          <w:p w14:paraId="6577FF32">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1,392.31 </w:t>
            </w:r>
          </w:p>
        </w:tc>
        <w:tc>
          <w:tcPr>
            <w:tcW w:w="899" w:type="dxa"/>
            <w:shd w:val="clear" w:color="auto" w:fill="auto"/>
            <w:noWrap/>
            <w:vAlign w:val="center"/>
          </w:tcPr>
          <w:p w14:paraId="478616E0">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1,392.31 </w:t>
            </w:r>
          </w:p>
        </w:tc>
        <w:tc>
          <w:tcPr>
            <w:tcW w:w="899" w:type="dxa"/>
            <w:shd w:val="clear" w:color="auto" w:fill="auto"/>
            <w:noWrap/>
            <w:vAlign w:val="center"/>
          </w:tcPr>
          <w:p w14:paraId="7E2876EC">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1,392.31 </w:t>
            </w:r>
          </w:p>
        </w:tc>
        <w:tc>
          <w:tcPr>
            <w:tcW w:w="999" w:type="dxa"/>
            <w:shd w:val="clear" w:color="auto" w:fill="auto"/>
            <w:noWrap/>
            <w:vAlign w:val="center"/>
          </w:tcPr>
          <w:p w14:paraId="71673CFC">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6,253.78 </w:t>
            </w:r>
          </w:p>
        </w:tc>
        <w:tc>
          <w:tcPr>
            <w:tcW w:w="999" w:type="dxa"/>
            <w:shd w:val="clear" w:color="auto" w:fill="auto"/>
            <w:noWrap/>
            <w:vAlign w:val="center"/>
          </w:tcPr>
          <w:p w14:paraId="209B7620">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-2,977.15 </w:t>
            </w:r>
          </w:p>
        </w:tc>
        <w:tc>
          <w:tcPr>
            <w:tcW w:w="1000" w:type="dxa"/>
            <w:shd w:val="clear" w:color="auto" w:fill="auto"/>
            <w:noWrap/>
            <w:vAlign w:val="center"/>
          </w:tcPr>
          <w:p w14:paraId="070F76B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-1,214.80 </w:t>
            </w:r>
          </w:p>
        </w:tc>
        <w:tc>
          <w:tcPr>
            <w:tcW w:w="987" w:type="dxa"/>
            <w:shd w:val="clear" w:color="auto" w:fill="auto"/>
            <w:noWrap/>
            <w:vAlign w:val="center"/>
          </w:tcPr>
          <w:p w14:paraId="774A93E2">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9,948.78 </w:t>
            </w:r>
          </w:p>
        </w:tc>
      </w:tr>
      <w:bookmarkEnd w:id="67"/>
      <w:tr w14:paraId="44508442">
        <w:tblPrEx>
          <w:tblBorders>
            <w:top w:val="single" w:color="auto" w:sz="18" w:space="0"/>
            <w:left w:val="none" w:color="auto" w:sz="0" w:space="0"/>
            <w:bottom w:val="single" w:color="auto" w:sz="18" w:space="0"/>
            <w:right w:val="none" w:color="auto" w:sz="0" w:space="0"/>
            <w:insideH w:val="dotted" w:color="auto" w:sz="4" w:space="0"/>
            <w:insideV w:val="dotted" w:color="auto" w:sz="4" w:space="0"/>
          </w:tblBorders>
          <w:tblCellMar>
            <w:top w:w="0" w:type="dxa"/>
            <w:left w:w="108" w:type="dxa"/>
            <w:bottom w:w="0" w:type="dxa"/>
            <w:right w:w="108" w:type="dxa"/>
          </w:tblCellMar>
        </w:tblPrEx>
        <w:trPr>
          <w:trHeight w:val="454" w:hRule="atLeast"/>
        </w:trPr>
        <w:tc>
          <w:tcPr>
            <w:tcW w:w="1843" w:type="dxa"/>
            <w:shd w:val="clear" w:color="auto" w:fill="auto"/>
            <w:noWrap/>
            <w:vAlign w:val="center"/>
          </w:tcPr>
          <w:p w14:paraId="56978287">
            <w:pPr>
              <w:widowControl/>
              <w:jc w:val="center"/>
              <w:textAlignment w:val="center"/>
              <w:rPr>
                <w:rFonts w:ascii="Arial" w:hAnsi="Arial" w:cs="Arial"/>
                <w:b/>
                <w:bCs/>
                <w:color w:val="000000"/>
                <w:kern w:val="0"/>
                <w:sz w:val="18"/>
                <w:szCs w:val="20"/>
              </w:rPr>
            </w:pPr>
            <w:r>
              <w:rPr>
                <w:rFonts w:hint="eastAsia" w:ascii="宋体" w:hAnsi="宋体" w:cs="宋体"/>
                <w:b/>
                <w:bCs/>
                <w:color w:val="000000"/>
                <w:kern w:val="0"/>
                <w:sz w:val="20"/>
                <w:szCs w:val="20"/>
                <w:lang w:bidi="ar"/>
              </w:rPr>
              <w:t>四、累计现金流净额</w:t>
            </w:r>
          </w:p>
        </w:tc>
        <w:tc>
          <w:tcPr>
            <w:tcW w:w="997" w:type="dxa"/>
            <w:shd w:val="clear" w:color="auto" w:fill="auto"/>
            <w:noWrap/>
            <w:vAlign w:val="center"/>
          </w:tcPr>
          <w:p w14:paraId="0D775EFF">
            <w:pPr>
              <w:widowControl/>
              <w:jc w:val="center"/>
              <w:textAlignment w:val="center"/>
              <w:rPr>
                <w:rFonts w:ascii="Arial Narrow" w:hAnsi="Arial Narrow" w:cs="Arial"/>
                <w:b/>
                <w:bCs/>
                <w:color w:val="FFFFFF"/>
                <w:kern w:val="0"/>
                <w:sz w:val="18"/>
                <w:szCs w:val="18"/>
              </w:rPr>
            </w:pPr>
            <w:r>
              <w:rPr>
                <w:rFonts w:ascii="Arial" w:hAnsi="Arial" w:cs="Arial"/>
                <w:b/>
                <w:bCs/>
                <w:color w:val="FFFFFF"/>
                <w:kern w:val="0"/>
                <w:sz w:val="18"/>
                <w:szCs w:val="18"/>
                <w:lang w:bidi="ar"/>
              </w:rPr>
              <w:t xml:space="preserve">-   </w:t>
            </w:r>
          </w:p>
        </w:tc>
        <w:tc>
          <w:tcPr>
            <w:tcW w:w="997" w:type="dxa"/>
            <w:shd w:val="clear" w:color="auto" w:fill="auto"/>
            <w:noWrap/>
            <w:vAlign w:val="center"/>
          </w:tcPr>
          <w:p w14:paraId="378420F9">
            <w:pPr>
              <w:widowControl/>
              <w:jc w:val="center"/>
              <w:textAlignment w:val="center"/>
              <w:rPr>
                <w:rFonts w:ascii="Arial Narrow" w:hAnsi="Arial Narrow" w:cs="Arial"/>
                <w:b/>
                <w:bCs/>
                <w:color w:val="FFFFFF"/>
                <w:kern w:val="0"/>
                <w:sz w:val="18"/>
                <w:szCs w:val="18"/>
              </w:rPr>
            </w:pPr>
            <w:r>
              <w:rPr>
                <w:rFonts w:ascii="Arial" w:hAnsi="Arial" w:cs="Arial"/>
                <w:b/>
                <w:bCs/>
                <w:color w:val="FFFFFF"/>
                <w:kern w:val="0"/>
                <w:sz w:val="18"/>
                <w:szCs w:val="18"/>
                <w:lang w:bidi="ar"/>
              </w:rPr>
              <w:t xml:space="preserve">-   </w:t>
            </w:r>
          </w:p>
        </w:tc>
        <w:tc>
          <w:tcPr>
            <w:tcW w:w="896" w:type="dxa"/>
            <w:shd w:val="clear" w:color="auto" w:fill="auto"/>
            <w:noWrap/>
            <w:vAlign w:val="center"/>
          </w:tcPr>
          <w:p w14:paraId="62F1BD1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1,079.10 </w:t>
            </w:r>
          </w:p>
        </w:tc>
        <w:tc>
          <w:tcPr>
            <w:tcW w:w="896" w:type="dxa"/>
            <w:shd w:val="clear" w:color="auto" w:fill="auto"/>
            <w:noWrap/>
            <w:vAlign w:val="center"/>
          </w:tcPr>
          <w:p w14:paraId="6EF0AE0A">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2,315.71 </w:t>
            </w:r>
          </w:p>
        </w:tc>
        <w:tc>
          <w:tcPr>
            <w:tcW w:w="896" w:type="dxa"/>
            <w:shd w:val="clear" w:color="auto" w:fill="auto"/>
            <w:noWrap/>
            <w:vAlign w:val="center"/>
          </w:tcPr>
          <w:p w14:paraId="2251B1CB">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3,710.02 </w:t>
            </w:r>
          </w:p>
        </w:tc>
        <w:tc>
          <w:tcPr>
            <w:tcW w:w="896" w:type="dxa"/>
            <w:shd w:val="clear" w:color="auto" w:fill="auto"/>
            <w:noWrap/>
            <w:vAlign w:val="center"/>
          </w:tcPr>
          <w:p w14:paraId="331E6B79">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5,102.33 </w:t>
            </w:r>
          </w:p>
        </w:tc>
        <w:tc>
          <w:tcPr>
            <w:tcW w:w="899" w:type="dxa"/>
            <w:shd w:val="clear" w:color="auto" w:fill="auto"/>
            <w:noWrap/>
            <w:vAlign w:val="center"/>
          </w:tcPr>
          <w:p w14:paraId="310DD9AC">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6,494.64 </w:t>
            </w:r>
          </w:p>
        </w:tc>
        <w:tc>
          <w:tcPr>
            <w:tcW w:w="899" w:type="dxa"/>
            <w:shd w:val="clear" w:color="auto" w:fill="auto"/>
            <w:noWrap/>
            <w:vAlign w:val="center"/>
          </w:tcPr>
          <w:p w14:paraId="7B6477B8">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7,886.95 </w:t>
            </w:r>
          </w:p>
        </w:tc>
        <w:tc>
          <w:tcPr>
            <w:tcW w:w="999" w:type="dxa"/>
            <w:shd w:val="clear" w:color="auto" w:fill="auto"/>
            <w:noWrap/>
            <w:vAlign w:val="center"/>
          </w:tcPr>
          <w:p w14:paraId="5851BEAF">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14,140.73 </w:t>
            </w:r>
          </w:p>
        </w:tc>
        <w:tc>
          <w:tcPr>
            <w:tcW w:w="999" w:type="dxa"/>
            <w:shd w:val="clear" w:color="auto" w:fill="auto"/>
            <w:noWrap/>
            <w:vAlign w:val="center"/>
          </w:tcPr>
          <w:p w14:paraId="530D2EB1">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11,163.58 </w:t>
            </w:r>
          </w:p>
        </w:tc>
        <w:tc>
          <w:tcPr>
            <w:tcW w:w="1000" w:type="dxa"/>
            <w:shd w:val="clear" w:color="auto" w:fill="auto"/>
            <w:noWrap/>
            <w:vAlign w:val="center"/>
          </w:tcPr>
          <w:p w14:paraId="3BC52474">
            <w:pPr>
              <w:widowControl/>
              <w:jc w:val="center"/>
              <w:textAlignment w:val="center"/>
              <w:rPr>
                <w:rFonts w:ascii="Arial Narrow" w:hAnsi="Arial Narrow" w:cs="Arial"/>
                <w:b/>
                <w:bCs/>
                <w:color w:val="000000"/>
                <w:kern w:val="0"/>
                <w:sz w:val="18"/>
                <w:szCs w:val="18"/>
              </w:rPr>
            </w:pPr>
            <w:r>
              <w:rPr>
                <w:rFonts w:ascii="Arial" w:hAnsi="Arial" w:cs="Arial"/>
                <w:b/>
                <w:bCs/>
                <w:color w:val="000000"/>
                <w:kern w:val="0"/>
                <w:sz w:val="18"/>
                <w:szCs w:val="18"/>
                <w:lang w:bidi="ar"/>
              </w:rPr>
              <w:t xml:space="preserve">9,948.78 </w:t>
            </w:r>
          </w:p>
        </w:tc>
        <w:tc>
          <w:tcPr>
            <w:tcW w:w="987" w:type="dxa"/>
            <w:shd w:val="clear" w:color="auto" w:fill="auto"/>
            <w:noWrap/>
            <w:vAlign w:val="center"/>
          </w:tcPr>
          <w:p w14:paraId="15143C0D">
            <w:pPr>
              <w:widowControl/>
              <w:jc w:val="center"/>
              <w:rPr>
                <w:rFonts w:ascii="Arial Narrow" w:hAnsi="Arial Narrow" w:cs="Arial"/>
                <w:b/>
                <w:bCs/>
                <w:color w:val="000000"/>
                <w:kern w:val="0"/>
                <w:sz w:val="18"/>
                <w:szCs w:val="18"/>
              </w:rPr>
            </w:pPr>
          </w:p>
        </w:tc>
      </w:tr>
      <w:bookmarkEnd w:id="68"/>
    </w:tbl>
    <w:p w14:paraId="5FEEA108">
      <w:pPr>
        <w:pStyle w:val="13"/>
        <w:ind w:firstLine="643"/>
        <w:rPr>
          <w:rFonts w:ascii="楷体_GB2312" w:eastAsia="楷体_GB2312"/>
          <w:b/>
          <w:sz w:val="32"/>
          <w:szCs w:val="32"/>
        </w:rPr>
      </w:pPr>
    </w:p>
    <w:p w14:paraId="60A48D91">
      <w:pPr>
        <w:pStyle w:val="12"/>
        <w:ind w:firstLine="240"/>
        <w:rPr>
          <w:lang w:val="en-US"/>
        </w:rPr>
        <w:sectPr>
          <w:pgSz w:w="20863" w:h="14740" w:orient="landscape"/>
          <w:pgMar w:top="1800" w:right="1440" w:bottom="1800" w:left="1440" w:header="851" w:footer="992" w:gutter="0"/>
          <w:cols w:space="425" w:num="1"/>
          <w:docGrid w:type="lines" w:linePitch="312" w:charSpace="0"/>
        </w:sectPr>
      </w:pPr>
    </w:p>
    <w:p w14:paraId="23D7CF77">
      <w:pPr>
        <w:pStyle w:val="13"/>
        <w:ind w:firstLine="640"/>
        <w:rPr>
          <w:rFonts w:hint="eastAsia" w:ascii="黑体" w:hAnsi="黑体" w:eastAsia="黑体"/>
          <w:sz w:val="32"/>
          <w:szCs w:val="32"/>
        </w:rPr>
      </w:pPr>
      <w:r>
        <w:rPr>
          <w:rFonts w:hint="eastAsia" w:ascii="黑体" w:hAnsi="黑体" w:eastAsia="黑体"/>
          <w:sz w:val="32"/>
          <w:szCs w:val="32"/>
        </w:rPr>
        <w:t>五、项目绩效目标</w:t>
      </w:r>
    </w:p>
    <w:p w14:paraId="293ECF44">
      <w:pPr>
        <w:spacing w:line="560" w:lineRule="exact"/>
        <w:ind w:firstLine="560" w:firstLineChars="200"/>
        <w:rPr>
          <w:rFonts w:hint="eastAsia" w:ascii="宋体" w:hAnsi="宋体" w:cs="宋体"/>
          <w:sz w:val="28"/>
          <w:szCs w:val="28"/>
        </w:rPr>
      </w:pPr>
      <w:r>
        <w:rPr>
          <w:rFonts w:hint="eastAsia" w:ascii="宋体" w:hAnsi="宋体" w:cs="宋体"/>
          <w:sz w:val="28"/>
          <w:szCs w:val="28"/>
        </w:rPr>
        <w:t>1、项目总体建设目标：</w:t>
      </w:r>
    </w:p>
    <w:p w14:paraId="69A21EAB">
      <w:pPr>
        <w:spacing w:line="560" w:lineRule="exact"/>
        <w:ind w:firstLine="560" w:firstLineChars="200"/>
        <w:rPr>
          <w:rFonts w:hint="eastAsia" w:ascii="宋体" w:hAnsi="宋体" w:cs="宋体"/>
          <w:sz w:val="28"/>
          <w:szCs w:val="28"/>
        </w:rPr>
      </w:pPr>
      <w:r>
        <w:rPr>
          <w:rFonts w:hint="eastAsia" w:ascii="宋体" w:hAnsi="宋体" w:cs="宋体"/>
          <w:sz w:val="28"/>
          <w:szCs w:val="28"/>
        </w:rPr>
        <w:t>目标1：完成项目建设施工，完成保障性安居住房及配套设施建设。</w:t>
      </w:r>
    </w:p>
    <w:p w14:paraId="0B7F8474">
      <w:pPr>
        <w:spacing w:line="560" w:lineRule="exact"/>
        <w:ind w:firstLine="560" w:firstLineChars="200"/>
        <w:rPr>
          <w:rFonts w:hint="eastAsia" w:ascii="宋体" w:hAnsi="宋体" w:cs="宋体"/>
          <w:sz w:val="28"/>
          <w:szCs w:val="28"/>
        </w:rPr>
      </w:pPr>
      <w:r>
        <w:rPr>
          <w:rFonts w:hint="eastAsia" w:ascii="宋体" w:hAnsi="宋体" w:cs="宋体"/>
          <w:sz w:val="28"/>
          <w:szCs w:val="28"/>
        </w:rPr>
        <w:t>目标2：在2024年12月31日前完成项目竣工验收。</w:t>
      </w:r>
    </w:p>
    <w:p w14:paraId="3609130F">
      <w:pPr>
        <w:spacing w:line="560" w:lineRule="exact"/>
        <w:ind w:firstLine="560" w:firstLineChars="200"/>
        <w:rPr>
          <w:rFonts w:hint="eastAsia" w:ascii="宋体" w:hAnsi="宋体" w:cs="宋体"/>
          <w:sz w:val="28"/>
          <w:szCs w:val="28"/>
        </w:rPr>
      </w:pPr>
      <w:r>
        <w:rPr>
          <w:rFonts w:hint="eastAsia" w:ascii="宋体" w:hAnsi="宋体" w:cs="宋体"/>
          <w:sz w:val="28"/>
          <w:szCs w:val="28"/>
        </w:rPr>
        <w:t>目标3：债券存续期内实现年度收支平衡和总体收支平衡。</w:t>
      </w:r>
    </w:p>
    <w:p w14:paraId="152CF3C7">
      <w:pPr>
        <w:spacing w:line="560" w:lineRule="exact"/>
        <w:ind w:firstLine="560" w:firstLineChars="200"/>
        <w:rPr>
          <w:rFonts w:hint="eastAsia" w:ascii="宋体" w:hAnsi="宋体" w:cs="宋体"/>
          <w:sz w:val="28"/>
          <w:szCs w:val="28"/>
        </w:rPr>
      </w:pPr>
      <w:r>
        <w:rPr>
          <w:rFonts w:hint="eastAsia" w:ascii="宋体" w:hAnsi="宋体" w:cs="宋体"/>
          <w:sz w:val="28"/>
          <w:szCs w:val="28"/>
        </w:rPr>
        <w:t>目标4：促进民生发展，推动城镇化进程。增强城市基础配套设施，促进城市可持续发展。</w:t>
      </w:r>
    </w:p>
    <w:p w14:paraId="7890DE26">
      <w:pPr>
        <w:spacing w:line="560" w:lineRule="exact"/>
        <w:ind w:firstLine="560" w:firstLineChars="200"/>
        <w:rPr>
          <w:rFonts w:hint="eastAsia" w:ascii="宋体" w:hAnsi="宋体" w:cs="宋体"/>
          <w:sz w:val="28"/>
          <w:szCs w:val="28"/>
        </w:rPr>
      </w:pPr>
      <w:r>
        <w:rPr>
          <w:rFonts w:hint="eastAsia" w:ascii="宋体" w:hAnsi="宋体" w:cs="宋体"/>
          <w:sz w:val="28"/>
          <w:szCs w:val="28"/>
        </w:rPr>
        <w:t>2、2023年度目标</w:t>
      </w:r>
    </w:p>
    <w:p w14:paraId="68A7553C">
      <w:pPr>
        <w:spacing w:line="560" w:lineRule="exact"/>
        <w:ind w:firstLine="560" w:firstLineChars="200"/>
        <w:rPr>
          <w:rFonts w:hint="eastAsia" w:ascii="宋体" w:hAnsi="宋体" w:cs="宋体"/>
          <w:sz w:val="28"/>
          <w:szCs w:val="28"/>
        </w:rPr>
      </w:pPr>
      <w:r>
        <w:rPr>
          <w:rFonts w:hint="eastAsia" w:ascii="宋体" w:hAnsi="宋体" w:cs="宋体"/>
          <w:sz w:val="28"/>
          <w:szCs w:val="28"/>
        </w:rPr>
        <w:t>目标1：完成场平工程及地基工程，完成以及部分主体建筑结构。</w:t>
      </w:r>
    </w:p>
    <w:p w14:paraId="767DBB55">
      <w:pPr>
        <w:spacing w:line="560" w:lineRule="exact"/>
        <w:ind w:firstLine="560" w:firstLineChars="200"/>
        <w:rPr>
          <w:rFonts w:hint="eastAsia" w:ascii="宋体" w:hAnsi="宋体" w:cs="宋体"/>
          <w:sz w:val="28"/>
          <w:szCs w:val="28"/>
        </w:rPr>
      </w:pPr>
      <w:r>
        <w:rPr>
          <w:rFonts w:hint="eastAsia" w:ascii="宋体" w:hAnsi="宋体" w:cs="宋体"/>
          <w:sz w:val="28"/>
          <w:szCs w:val="28"/>
        </w:rPr>
        <w:t>3、产出指标</w:t>
      </w:r>
    </w:p>
    <w:p w14:paraId="5088923B">
      <w:pPr>
        <w:spacing w:line="560" w:lineRule="exact"/>
        <w:ind w:firstLine="560" w:firstLineChars="200"/>
        <w:rPr>
          <w:rFonts w:hint="eastAsia" w:ascii="宋体" w:hAnsi="宋体" w:cs="宋体"/>
          <w:sz w:val="28"/>
          <w:szCs w:val="28"/>
        </w:rPr>
      </w:pPr>
      <w:r>
        <w:rPr>
          <w:rFonts w:hint="eastAsia" w:ascii="宋体" w:hAnsi="宋体" w:cs="宋体"/>
          <w:sz w:val="28"/>
          <w:szCs w:val="28"/>
        </w:rPr>
        <w:t>数量指标：指标1：建设保障性安居住房住宅工程43506.24㎡；指标2：完成新建小区配套底层工程2376.05㎡；指标3：完成小区管理配套用房425.56㎡；指标4：完成地下机动车停车场15606.79㎡；指标5：完成地下非机动车库1801.59㎡；指标6：地下设备用房2298.26㎡；指标7：完成配套用房开发10000㎡。</w:t>
      </w:r>
    </w:p>
    <w:p w14:paraId="225EC012">
      <w:pPr>
        <w:spacing w:line="560" w:lineRule="exact"/>
        <w:ind w:firstLine="560" w:firstLineChars="200"/>
        <w:rPr>
          <w:rFonts w:hint="eastAsia" w:ascii="宋体" w:hAnsi="宋体" w:cs="宋体"/>
          <w:sz w:val="28"/>
          <w:szCs w:val="28"/>
        </w:rPr>
      </w:pPr>
      <w:r>
        <w:rPr>
          <w:rFonts w:hint="eastAsia" w:ascii="宋体" w:hAnsi="宋体" w:cs="宋体"/>
          <w:sz w:val="28"/>
          <w:szCs w:val="28"/>
        </w:rPr>
        <w:t>质量指标：指标1：项目设计方案变更率≤5%。</w:t>
      </w:r>
    </w:p>
    <w:p w14:paraId="27FB35D4">
      <w:pPr>
        <w:spacing w:line="560" w:lineRule="exact"/>
        <w:ind w:firstLine="560" w:firstLineChars="200"/>
        <w:rPr>
          <w:rFonts w:hint="eastAsia" w:ascii="宋体" w:hAnsi="宋体" w:cs="宋体"/>
          <w:sz w:val="28"/>
          <w:szCs w:val="28"/>
        </w:rPr>
      </w:pPr>
      <w:r>
        <w:rPr>
          <w:rFonts w:hint="eastAsia" w:ascii="宋体" w:hAnsi="宋体" w:cs="宋体"/>
          <w:sz w:val="28"/>
          <w:szCs w:val="28"/>
        </w:rPr>
        <w:t>时效指标：指标1：工程按时开工：2023/2。</w:t>
      </w:r>
    </w:p>
    <w:p w14:paraId="6B4CBDD6">
      <w:pPr>
        <w:spacing w:line="560" w:lineRule="exact"/>
        <w:ind w:firstLine="560" w:firstLineChars="200"/>
        <w:rPr>
          <w:rFonts w:hint="eastAsia" w:ascii="宋体" w:hAnsi="宋体" w:cs="宋体"/>
          <w:sz w:val="28"/>
          <w:szCs w:val="28"/>
        </w:rPr>
      </w:pPr>
      <w:r>
        <w:rPr>
          <w:rFonts w:hint="eastAsia" w:ascii="宋体" w:hAnsi="宋体" w:cs="宋体"/>
          <w:sz w:val="28"/>
          <w:szCs w:val="28"/>
        </w:rPr>
        <w:t>成本指标：指标1：2023项目建设总投资成本≤17753万元。</w:t>
      </w:r>
    </w:p>
    <w:p w14:paraId="7A1BA0F1">
      <w:pPr>
        <w:spacing w:line="560" w:lineRule="exact"/>
        <w:ind w:firstLine="560" w:firstLineChars="200"/>
        <w:rPr>
          <w:rFonts w:hint="eastAsia" w:ascii="宋体" w:hAnsi="宋体" w:cs="宋体"/>
          <w:sz w:val="28"/>
          <w:szCs w:val="28"/>
        </w:rPr>
      </w:pPr>
      <w:r>
        <w:rPr>
          <w:rFonts w:hint="eastAsia" w:ascii="宋体" w:hAnsi="宋体" w:cs="宋体"/>
          <w:sz w:val="28"/>
          <w:szCs w:val="28"/>
        </w:rPr>
        <w:t>预算执行指标：指标1：债券资金实际支出≥10000万元；指标2：地方投入资金实际支出≥7753万元。</w:t>
      </w:r>
    </w:p>
    <w:p w14:paraId="10FA3477">
      <w:pPr>
        <w:pStyle w:val="13"/>
        <w:ind w:left="420" w:firstLine="0" w:firstLineChars="0"/>
        <w:rPr>
          <w:rFonts w:hint="eastAsia" w:ascii="仿宋_GB2312" w:hAnsi="仿宋" w:eastAsia="仿宋_GB2312"/>
          <w:sz w:val="32"/>
          <w:szCs w:val="32"/>
        </w:rPr>
      </w:pPr>
      <w:r>
        <w:rPr>
          <w:rFonts w:hint="eastAsia" w:ascii="黑体" w:hAnsi="黑体" w:eastAsia="黑体"/>
          <w:sz w:val="32"/>
          <w:szCs w:val="32"/>
        </w:rPr>
        <w:t>六、潜在影响项目的风险评估</w:t>
      </w:r>
    </w:p>
    <w:p w14:paraId="69BB76E5">
      <w:pPr>
        <w:spacing w:line="560" w:lineRule="exact"/>
        <w:ind w:firstLine="560" w:firstLineChars="200"/>
        <w:rPr>
          <w:rFonts w:hint="eastAsia" w:ascii="宋体" w:hAnsi="宋体" w:cs="宋体"/>
          <w:sz w:val="28"/>
          <w:szCs w:val="28"/>
        </w:rPr>
      </w:pPr>
      <w:r>
        <w:rPr>
          <w:rFonts w:hint="eastAsia" w:ascii="宋体" w:hAnsi="宋体" w:cs="宋体"/>
          <w:sz w:val="28"/>
          <w:szCs w:val="28"/>
        </w:rPr>
        <w:t>本项目主要的风险因素有工程质量风险、工程费用风险、工程进度风险及资金管理风险。</w:t>
      </w:r>
    </w:p>
    <w:p w14:paraId="57CD1BD6">
      <w:pPr>
        <w:spacing w:line="560" w:lineRule="exact"/>
        <w:ind w:firstLine="560" w:firstLineChars="200"/>
        <w:rPr>
          <w:rFonts w:hint="eastAsia" w:ascii="宋体" w:hAnsi="宋体" w:cs="宋体"/>
          <w:sz w:val="28"/>
          <w:szCs w:val="28"/>
        </w:rPr>
      </w:pPr>
      <w:r>
        <w:rPr>
          <w:rFonts w:hint="eastAsia" w:ascii="宋体" w:hAnsi="宋体" w:cs="宋体"/>
          <w:sz w:val="28"/>
          <w:szCs w:val="28"/>
        </w:rPr>
        <w:t>风险因素可控，风险较低。</w:t>
      </w:r>
    </w:p>
    <w:p w14:paraId="72B1C91D">
      <w:pPr>
        <w:spacing w:before="240" w:after="120" w:line="560" w:lineRule="exact"/>
        <w:ind w:firstLine="320" w:firstLineChars="100"/>
        <w:rPr>
          <w:rFonts w:ascii="仿宋_GB2312" w:eastAsia="仿宋_GB2312"/>
          <w:sz w:val="32"/>
          <w:szCs w:val="32"/>
        </w:rPr>
      </w:pPr>
      <w:r>
        <w:rPr>
          <w:rFonts w:hint="eastAsia" w:ascii="黑体" w:hAnsi="黑体" w:eastAsia="黑体"/>
          <w:sz w:val="32"/>
          <w:szCs w:val="32"/>
        </w:rPr>
        <w:t>七、还款保障情况</w:t>
      </w:r>
    </w:p>
    <w:p w14:paraId="297D5EB7">
      <w:pPr>
        <w:spacing w:line="560" w:lineRule="exact"/>
        <w:ind w:firstLine="560" w:firstLineChars="200"/>
        <w:rPr>
          <w:rFonts w:hint="eastAsia" w:ascii="宋体" w:hAnsi="宋体" w:cs="宋体"/>
          <w:sz w:val="28"/>
          <w:szCs w:val="28"/>
          <w:lang w:val="en-GB"/>
        </w:rPr>
      </w:pPr>
      <w:r>
        <w:rPr>
          <w:rFonts w:hint="eastAsia" w:ascii="宋体" w:hAnsi="宋体" w:cs="宋体"/>
          <w:sz w:val="28"/>
          <w:szCs w:val="28"/>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49A74BA7">
      <w:pPr>
        <w:spacing w:before="240" w:after="120" w:line="560" w:lineRule="exact"/>
        <w:ind w:firstLine="320" w:firstLineChars="100"/>
        <w:rPr>
          <w:rFonts w:hint="eastAsia" w:ascii="黑体" w:hAnsi="黑体" w:eastAsia="黑体"/>
          <w:sz w:val="32"/>
          <w:szCs w:val="32"/>
        </w:rPr>
      </w:pPr>
      <w:r>
        <w:rPr>
          <w:rFonts w:hint="eastAsia" w:ascii="黑体" w:hAnsi="黑体" w:eastAsia="黑体"/>
          <w:sz w:val="32"/>
          <w:szCs w:val="32"/>
        </w:rPr>
        <w:t>八、主管部门职责</w:t>
      </w:r>
    </w:p>
    <w:p w14:paraId="320E0FD9">
      <w:pPr>
        <w:spacing w:line="560" w:lineRule="exact"/>
        <w:ind w:firstLine="560" w:firstLineChars="200"/>
        <w:rPr>
          <w:rFonts w:hint="eastAsia" w:ascii="宋体" w:hAnsi="宋体" w:cs="宋体"/>
          <w:sz w:val="28"/>
          <w:szCs w:val="28"/>
        </w:rPr>
      </w:pPr>
      <w:r>
        <w:rPr>
          <w:rFonts w:hint="eastAsia" w:ascii="宋体" w:hAnsi="宋体" w:cs="宋体"/>
          <w:sz w:val="28"/>
          <w:szCs w:val="28"/>
        </w:rPr>
        <w:t>本项目主管部门是武胜县住房和城乡建设局，本级财政部门会同本级行业主管部门等，将专项债券对应项目形成的国有资产，纳入本级国有资产管理，建立相应的资产登记和统计报告制度，加强资产日常统计和动态监控。区级以上各级行业主管部门应当认真履行资产运营维护责任，并做好资产的会计核算管理工作。专项债券对应项目形成的国有资产，严格按照专项债券发行时约定的用途使用，不得用于抵押、质押。</w:t>
      </w:r>
    </w:p>
    <w:p w14:paraId="6082CAED">
      <w:pPr>
        <w:spacing w:line="560" w:lineRule="exact"/>
        <w:ind w:firstLine="560" w:firstLineChars="200"/>
        <w:rPr>
          <w:rFonts w:hint="eastAsia" w:ascii="宋体" w:hAnsi="宋体" w:cs="宋体"/>
          <w:sz w:val="28"/>
          <w:szCs w:val="28"/>
          <w:lang w:val="en-GB"/>
        </w:rPr>
      </w:pPr>
      <w:r>
        <w:rPr>
          <w:rFonts w:hint="eastAsia" w:ascii="宋体" w:hAnsi="宋体" w:cs="宋体"/>
          <w:sz w:val="28"/>
          <w:szCs w:val="28"/>
        </w:rPr>
        <w:t>本项目的业主是</w:t>
      </w:r>
      <w:r>
        <w:rPr>
          <w:rFonts w:hint="eastAsia" w:ascii="宋体" w:hAnsi="宋体" w:cs="宋体"/>
          <w:color w:val="000000" w:themeColor="text1"/>
          <w:sz w:val="28"/>
          <w:szCs w:val="28"/>
          <w14:textFill>
            <w14:solidFill>
              <w14:schemeClr w14:val="tx1"/>
            </w14:solidFill>
          </w14:textFill>
        </w:rPr>
        <w:t>武胜县住房和城乡建设局。武胜县住房和城乡建设局</w:t>
      </w:r>
      <w:r>
        <w:rPr>
          <w:rFonts w:hint="eastAsia" w:ascii="宋体" w:hAnsi="宋体" w:cs="宋体"/>
          <w:sz w:val="28"/>
          <w:szCs w:val="28"/>
          <w:lang w:val="en-GB"/>
        </w:rPr>
        <w:t>将会配合做好本地区项目收益专项债券发行工作，及时准确提供相关资料，配合做好信息披露、信用评级、资产评估等工作。在项目建设期间，</w:t>
      </w:r>
      <w:r>
        <w:rPr>
          <w:rFonts w:hint="eastAsia" w:ascii="宋体" w:hAnsi="宋体" w:cs="宋体"/>
          <w:color w:val="000000" w:themeColor="text1"/>
          <w:sz w:val="28"/>
          <w:szCs w:val="28"/>
          <w14:textFill>
            <w14:solidFill>
              <w14:schemeClr w14:val="tx1"/>
            </w14:solidFill>
          </w14:textFill>
        </w:rPr>
        <w:t>武胜县住房和城乡建设局</w:t>
      </w:r>
      <w:r>
        <w:rPr>
          <w:rFonts w:hint="eastAsia" w:ascii="宋体" w:hAnsi="宋体" w:cs="宋体"/>
          <w:sz w:val="28"/>
          <w:szCs w:val="28"/>
          <w:lang w:val="en-GB"/>
        </w:rPr>
        <w:t>将主动披露项目施工期间的施工进度、项目收益专项债券资金使用情况等信息。将项目资产纳入国有资产进行管理，根据资产形式和类别建立资产登记和统计报告制度，做到项目资产的精细化监督管理。在项目运营期间，</w:t>
      </w:r>
      <w:r>
        <w:rPr>
          <w:rFonts w:hint="eastAsia" w:ascii="宋体" w:hAnsi="宋体" w:cs="宋体"/>
          <w:color w:val="000000" w:themeColor="text1"/>
          <w:sz w:val="28"/>
          <w:szCs w:val="28"/>
          <w14:textFill>
            <w14:solidFill>
              <w14:schemeClr w14:val="tx1"/>
            </w14:solidFill>
          </w14:textFill>
        </w:rPr>
        <w:t>武胜县住房和城乡建设局</w:t>
      </w:r>
      <w:r>
        <w:rPr>
          <w:rFonts w:hint="eastAsia" w:ascii="宋体" w:hAnsi="宋体" w:cs="宋体"/>
          <w:sz w:val="28"/>
          <w:szCs w:val="28"/>
          <w:lang w:val="en-GB"/>
        </w:rPr>
        <w:t>将会履行项目建设运营管理责任，加强成本控制，确保项目形成的专项收入应收尽收，并按照规定及时足额上交。</w:t>
      </w:r>
      <w:r>
        <w:rPr>
          <w:rFonts w:hint="eastAsia" w:ascii="宋体" w:hAnsi="宋体" w:cs="宋体"/>
          <w:color w:val="000000" w:themeColor="text1"/>
          <w:sz w:val="28"/>
          <w:szCs w:val="28"/>
          <w14:textFill>
            <w14:solidFill>
              <w14:schemeClr w14:val="tx1"/>
            </w14:solidFill>
          </w14:textFill>
        </w:rPr>
        <w:t>武胜县住房和城乡建设局</w:t>
      </w:r>
      <w:r>
        <w:rPr>
          <w:rFonts w:hint="eastAsia" w:ascii="宋体" w:hAnsi="宋体" w:cs="宋体"/>
          <w:sz w:val="28"/>
          <w:szCs w:val="28"/>
          <w:lang w:val="en-GB"/>
        </w:rPr>
        <w:t>定期对项目资产开展资产查验工作，重点检验项目资产是否按照国有资产管理相关规定管理，是否按照专项债券发行时设定的用途进行使用，防止国有资产发生流失、减值等情况，保障资产高效运营。</w:t>
      </w:r>
    </w:p>
    <w:p w14:paraId="14AFD0CC">
      <w:pPr>
        <w:numPr>
          <w:ilvl w:val="0"/>
          <w:numId w:val="3"/>
        </w:numPr>
        <w:spacing w:before="240" w:after="120" w:line="560" w:lineRule="exact"/>
        <w:ind w:firstLine="320" w:firstLineChars="100"/>
        <w:rPr>
          <w:rFonts w:hint="eastAsia" w:ascii="黑体" w:hAnsi="黑体" w:eastAsia="黑体"/>
          <w:sz w:val="32"/>
          <w:szCs w:val="32"/>
        </w:rPr>
      </w:pPr>
      <w:r>
        <w:rPr>
          <w:rFonts w:hint="eastAsia" w:ascii="黑体" w:hAnsi="黑体" w:eastAsia="黑体"/>
          <w:sz w:val="32"/>
          <w:szCs w:val="32"/>
        </w:rPr>
        <w:t>补充说明</w:t>
      </w:r>
    </w:p>
    <w:p w14:paraId="37E9EEC3">
      <w:pPr>
        <w:spacing w:line="560" w:lineRule="exact"/>
        <w:ind w:firstLine="560" w:firstLineChars="200"/>
        <w:rPr>
          <w:rFonts w:hint="eastAsia" w:ascii="宋体" w:hAnsi="宋体" w:cs="宋体"/>
          <w:sz w:val="28"/>
          <w:szCs w:val="28"/>
        </w:rPr>
      </w:pPr>
      <w:r>
        <w:rPr>
          <w:rFonts w:hint="eastAsia" w:ascii="宋体" w:hAnsi="宋体" w:cs="宋体"/>
          <w:sz w:val="28"/>
          <w:szCs w:val="28"/>
        </w:rPr>
        <w:t>此项目债券资金总需求20000万元，根据地方政府债务限额管理要求和项目实施进展情况，</w:t>
      </w:r>
      <w:r>
        <w:rPr>
          <w:rFonts w:hint="eastAsia" w:ascii="宋体" w:hAnsi="宋体" w:cs="宋体"/>
          <w:sz w:val="28"/>
          <w:szCs w:val="28"/>
          <w:lang w:val="en-US" w:eastAsia="zh-CN"/>
        </w:rPr>
        <w:t>项目已发行18000万元，其中</w:t>
      </w:r>
      <w:r>
        <w:rPr>
          <w:rFonts w:hint="eastAsia" w:ascii="宋体" w:hAnsi="宋体" w:cs="宋体"/>
          <w:sz w:val="28"/>
          <w:szCs w:val="28"/>
        </w:rPr>
        <w:t>2024年已发行</w:t>
      </w:r>
      <w:r>
        <w:rPr>
          <w:rFonts w:hint="eastAsia" w:ascii="宋体" w:hAnsi="宋体" w:cs="宋体"/>
          <w:sz w:val="28"/>
          <w:szCs w:val="28"/>
          <w:lang w:val="en-US" w:eastAsia="zh-CN"/>
        </w:rPr>
        <w:t>12000</w:t>
      </w:r>
      <w:r>
        <w:rPr>
          <w:rFonts w:hint="eastAsia" w:ascii="宋体" w:hAnsi="宋体" w:cs="宋体"/>
          <w:sz w:val="28"/>
          <w:szCs w:val="28"/>
        </w:rPr>
        <w:t>万元</w:t>
      </w:r>
      <w:r>
        <w:rPr>
          <w:rFonts w:hint="eastAsia" w:ascii="宋体" w:hAnsi="宋体" w:cs="宋体"/>
          <w:sz w:val="28"/>
          <w:szCs w:val="28"/>
          <w:lang w:eastAsia="zh-CN"/>
        </w:rPr>
        <w:t>，</w:t>
      </w:r>
      <w:r>
        <w:rPr>
          <w:rFonts w:hint="eastAsia" w:ascii="宋体" w:hAnsi="宋体" w:cs="宋体"/>
          <w:sz w:val="28"/>
          <w:szCs w:val="28"/>
          <w:lang w:val="en-US" w:eastAsia="zh-CN"/>
        </w:rPr>
        <w:t>2025年已发行6000万元，</w:t>
      </w:r>
      <w:r>
        <w:rPr>
          <w:rFonts w:hint="eastAsia" w:ascii="宋体" w:hAnsi="宋体" w:cs="宋体"/>
          <w:sz w:val="28"/>
          <w:szCs w:val="28"/>
        </w:rPr>
        <w:t>本次拟继续发行</w:t>
      </w:r>
      <w:r>
        <w:rPr>
          <w:rFonts w:hint="eastAsia" w:ascii="宋体" w:hAnsi="宋体" w:cs="宋体"/>
          <w:sz w:val="28"/>
          <w:szCs w:val="28"/>
          <w:lang w:val="en-US" w:eastAsia="zh-CN"/>
        </w:rPr>
        <w:t>2000</w:t>
      </w:r>
      <w:r>
        <w:rPr>
          <w:rFonts w:hint="eastAsia" w:ascii="宋体" w:hAnsi="宋体" w:cs="宋体"/>
          <w:sz w:val="28"/>
          <w:szCs w:val="28"/>
        </w:rPr>
        <w:t>万元，期限十年。该项目实施内容及收益来源未发生变动，在不超过项目债券总需求情况下，债券分批次跨年发行对项目整体融资平衡不构成实质影响。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Narrow">
    <w:altName w:val="Arial"/>
    <w:panose1 w:val="020B0606020202030204"/>
    <w:charset w:val="00"/>
    <w:family w:val="swiss"/>
    <w:pitch w:val="default"/>
    <w:sig w:usb0="00000000" w:usb1="00000000" w:usb2="00000000" w:usb3="00000000" w:csb0="0000009F"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680647"/>
    <w:multiLevelType w:val="singleLevel"/>
    <w:tmpl w:val="FE680647"/>
    <w:lvl w:ilvl="0" w:tentative="0">
      <w:start w:val="9"/>
      <w:numFmt w:val="chineseCounting"/>
      <w:suff w:val="nothing"/>
      <w:lvlText w:val="%1、"/>
      <w:lvlJc w:val="left"/>
      <w:rPr>
        <w:rFonts w:hint="eastAsia"/>
      </w:rPr>
    </w:lvl>
  </w:abstractNum>
  <w:abstractNum w:abstractNumId="1">
    <w:nsid w:val="00000010"/>
    <w:multiLevelType w:val="multilevel"/>
    <w:tmpl w:val="00000010"/>
    <w:lvl w:ilvl="0" w:tentative="0">
      <w:start w:val="1"/>
      <w:numFmt w:val="decimal"/>
      <w:lvlText w:val="%1"/>
      <w:lvlJc w:val="left"/>
      <w:pPr>
        <w:tabs>
          <w:tab w:val="left" w:pos="432"/>
        </w:tabs>
        <w:ind w:left="432" w:hanging="432"/>
      </w:pPr>
      <w:rPr>
        <w:rFonts w:hint="eastAsia"/>
      </w:rPr>
    </w:lvl>
    <w:lvl w:ilvl="1" w:tentative="0">
      <w:start w:val="1"/>
      <w:numFmt w:val="decimal"/>
      <w:pStyle w:val="5"/>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2">
    <w:nsid w:val="1CCFA463"/>
    <w:multiLevelType w:val="singleLevel"/>
    <w:tmpl w:val="1CCFA463"/>
    <w:lvl w:ilvl="0" w:tentative="0">
      <w:start w:val="3"/>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M5ZmQ0MmU1NTcxMTZjMjI0NGFiNzUwNWZlZGRhZWMifQ=="/>
  </w:docVars>
  <w:rsids>
    <w:rsidRoot w:val="4C6F16CF"/>
    <w:rsid w:val="005C7929"/>
    <w:rsid w:val="006F10C4"/>
    <w:rsid w:val="00886979"/>
    <w:rsid w:val="009E6052"/>
    <w:rsid w:val="00FF68A7"/>
    <w:rsid w:val="05CF3B95"/>
    <w:rsid w:val="08E519D8"/>
    <w:rsid w:val="0F445CE6"/>
    <w:rsid w:val="10EC458B"/>
    <w:rsid w:val="14CC6062"/>
    <w:rsid w:val="179E61AF"/>
    <w:rsid w:val="19311355"/>
    <w:rsid w:val="1A67276B"/>
    <w:rsid w:val="1E020CDA"/>
    <w:rsid w:val="1E5834AC"/>
    <w:rsid w:val="1F342466"/>
    <w:rsid w:val="1FEF45A4"/>
    <w:rsid w:val="245849F1"/>
    <w:rsid w:val="25AA7458"/>
    <w:rsid w:val="25B340F0"/>
    <w:rsid w:val="283E73CF"/>
    <w:rsid w:val="28AF2BBF"/>
    <w:rsid w:val="292C6F54"/>
    <w:rsid w:val="29FA381D"/>
    <w:rsid w:val="2A4A36CE"/>
    <w:rsid w:val="2B6E362F"/>
    <w:rsid w:val="2B9B0199"/>
    <w:rsid w:val="2C2565CE"/>
    <w:rsid w:val="2E514B6A"/>
    <w:rsid w:val="304E227E"/>
    <w:rsid w:val="35951139"/>
    <w:rsid w:val="35A72B63"/>
    <w:rsid w:val="37977742"/>
    <w:rsid w:val="3E3D1D05"/>
    <w:rsid w:val="3F3012E4"/>
    <w:rsid w:val="40AE072A"/>
    <w:rsid w:val="43170066"/>
    <w:rsid w:val="47DF7F6A"/>
    <w:rsid w:val="4C6F16CF"/>
    <w:rsid w:val="4CFC5EA5"/>
    <w:rsid w:val="4E1962DA"/>
    <w:rsid w:val="4E3C32C7"/>
    <w:rsid w:val="4EB9449D"/>
    <w:rsid w:val="4F307508"/>
    <w:rsid w:val="50095BB4"/>
    <w:rsid w:val="51580955"/>
    <w:rsid w:val="588B0446"/>
    <w:rsid w:val="58B568D9"/>
    <w:rsid w:val="5A001ACB"/>
    <w:rsid w:val="5AAB5E2E"/>
    <w:rsid w:val="5ACA2E91"/>
    <w:rsid w:val="5B4245F9"/>
    <w:rsid w:val="62AD3DCD"/>
    <w:rsid w:val="653914A1"/>
    <w:rsid w:val="6BF561AB"/>
    <w:rsid w:val="6EB34A82"/>
    <w:rsid w:val="6F0E5A81"/>
    <w:rsid w:val="70E1696B"/>
    <w:rsid w:val="720D0E53"/>
    <w:rsid w:val="73D41EB2"/>
    <w:rsid w:val="748E7E6D"/>
    <w:rsid w:val="79C011A5"/>
    <w:rsid w:val="7A7A6774"/>
    <w:rsid w:val="7C6B2FE3"/>
    <w:rsid w:val="7D114CB4"/>
    <w:rsid w:val="7DF10B9E"/>
    <w:rsid w:val="7F110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1"/>
    <w:pPr>
      <w:spacing w:before="4"/>
      <w:ind w:left="231"/>
      <w:outlineLvl w:val="0"/>
    </w:pPr>
    <w:rPr>
      <w:rFonts w:ascii="仿宋" w:hAnsi="仿宋" w:eastAsia="仿宋" w:cs="仿宋"/>
      <w:b/>
      <w:bCs/>
      <w:sz w:val="28"/>
      <w:szCs w:val="28"/>
      <w:lang w:val="zh-CN" w:bidi="zh-CN"/>
    </w:rPr>
  </w:style>
  <w:style w:type="paragraph" w:styleId="5">
    <w:name w:val="heading 2"/>
    <w:basedOn w:val="1"/>
    <w:next w:val="1"/>
    <w:qFormat/>
    <w:uiPriority w:val="0"/>
    <w:pPr>
      <w:keepNext/>
      <w:keepLines/>
      <w:numPr>
        <w:ilvl w:val="1"/>
        <w:numId w:val="1"/>
      </w:numPr>
      <w:tabs>
        <w:tab w:val="left" w:pos="786"/>
      </w:tabs>
      <w:spacing w:before="260" w:after="260" w:line="415" w:lineRule="auto"/>
      <w:outlineLvl w:val="1"/>
    </w:pPr>
    <w:rPr>
      <w:rFonts w:ascii="Arial" w:hAnsi="Arial" w:eastAsia="黑体"/>
      <w:b/>
      <w:bCs/>
      <w:sz w:val="32"/>
      <w:szCs w:val="32"/>
    </w:rPr>
  </w:style>
  <w:style w:type="paragraph" w:styleId="6">
    <w:name w:val="heading 3"/>
    <w:basedOn w:val="1"/>
    <w:next w:val="1"/>
    <w:unhideWhenUsed/>
    <w:qFormat/>
    <w:uiPriority w:val="0"/>
    <w:pPr>
      <w:keepNext/>
      <w:keepLines/>
      <w:spacing w:before="260" w:after="260" w:line="413" w:lineRule="auto"/>
      <w:outlineLvl w:val="2"/>
    </w:pPr>
    <w:rPr>
      <w:b/>
      <w:sz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1"/>
    <w:rPr>
      <w:rFonts w:ascii="宋体" w:hAnsi="宋体" w:cs="宋体"/>
      <w:sz w:val="24"/>
      <w:szCs w:val="24"/>
      <w:lang w:val="zh-CN" w:bidi="zh-CN"/>
    </w:rPr>
  </w:style>
  <w:style w:type="paragraph" w:styleId="3">
    <w:name w:val="Body Text 2"/>
    <w:basedOn w:val="1"/>
    <w:qFormat/>
    <w:uiPriority w:val="99"/>
    <w:pPr>
      <w:spacing w:after="120" w:line="480" w:lineRule="auto"/>
    </w:pPr>
    <w:rPr>
      <w:rFonts w:eastAsiaTheme="minorEastAsia"/>
    </w:rPr>
  </w:style>
  <w:style w:type="paragraph" w:styleId="7">
    <w:name w:val="Body Text Indent"/>
    <w:basedOn w:val="1"/>
    <w:qFormat/>
    <w:uiPriority w:val="99"/>
    <w:pPr>
      <w:spacing w:after="120"/>
      <w:ind w:left="420" w:leftChars="200"/>
    </w:pPr>
  </w:style>
  <w:style w:type="paragraph" w:styleId="8">
    <w:name w:val="footer"/>
    <w:basedOn w:val="1"/>
    <w:link w:val="19"/>
    <w:qFormat/>
    <w:uiPriority w:val="0"/>
    <w:pPr>
      <w:tabs>
        <w:tab w:val="center" w:pos="4153"/>
        <w:tab w:val="right" w:pos="8306"/>
      </w:tabs>
      <w:snapToGrid w:val="0"/>
      <w:jc w:val="left"/>
    </w:pPr>
    <w:rPr>
      <w:sz w:val="18"/>
      <w:szCs w:val="18"/>
    </w:rPr>
  </w:style>
  <w:style w:type="paragraph" w:styleId="9">
    <w:name w:val="header"/>
    <w:basedOn w:val="1"/>
    <w:link w:val="18"/>
    <w:qFormat/>
    <w:uiPriority w:val="0"/>
    <w:pPr>
      <w:tabs>
        <w:tab w:val="center" w:pos="4153"/>
        <w:tab w:val="right" w:pos="8306"/>
      </w:tabs>
      <w:snapToGrid w:val="0"/>
      <w:jc w:val="center"/>
    </w:pPr>
    <w:rPr>
      <w:sz w:val="18"/>
      <w:szCs w:val="18"/>
    </w:rPr>
  </w:style>
  <w:style w:type="paragraph" w:styleId="10">
    <w:name w:val="toc 1"/>
    <w:basedOn w:val="1"/>
    <w:next w:val="1"/>
    <w:qFormat/>
    <w:uiPriority w:val="39"/>
    <w:pPr>
      <w:tabs>
        <w:tab w:val="left" w:pos="540"/>
        <w:tab w:val="right" w:leader="dot" w:pos="8296"/>
      </w:tabs>
      <w:adjustRightInd w:val="0"/>
      <w:snapToGrid w:val="0"/>
      <w:spacing w:before="120" w:after="120"/>
      <w:jc w:val="left"/>
    </w:pPr>
    <w:rPr>
      <w:rFonts w:eastAsia="仿宋_GB2312" w:cs="Calibri"/>
      <w:b/>
      <w:bCs/>
      <w:caps/>
      <w:sz w:val="28"/>
      <w:szCs w:val="28"/>
    </w:rPr>
  </w:style>
  <w:style w:type="paragraph" w:styleId="11">
    <w:name w:val="Subtitle"/>
    <w:basedOn w:val="1"/>
    <w:next w:val="1"/>
    <w:qFormat/>
    <w:uiPriority w:val="99"/>
    <w:pPr>
      <w:adjustRightInd w:val="0"/>
      <w:snapToGrid w:val="0"/>
      <w:spacing w:before="240" w:after="60" w:line="312" w:lineRule="auto"/>
      <w:jc w:val="center"/>
    </w:pPr>
    <w:rPr>
      <w:rFonts w:ascii="Cambria" w:hAnsi="Cambria" w:eastAsia="黑体"/>
      <w:b/>
      <w:bCs/>
      <w:kern w:val="28"/>
      <w:sz w:val="24"/>
      <w:szCs w:val="32"/>
    </w:rPr>
  </w:style>
  <w:style w:type="paragraph" w:styleId="12">
    <w:name w:val="Body Text First Indent"/>
    <w:basedOn w:val="2"/>
    <w:next w:val="2"/>
    <w:qFormat/>
    <w:uiPriority w:val="99"/>
    <w:pPr>
      <w:ind w:firstLine="420" w:firstLineChars="100"/>
    </w:pPr>
    <w:rPr>
      <w:rFonts w:ascii="Times New Roman" w:hAnsi="Times New Roman"/>
      <w:szCs w:val="20"/>
    </w:rPr>
  </w:style>
  <w:style w:type="paragraph" w:styleId="13">
    <w:name w:val="Body Text First Indent 2"/>
    <w:basedOn w:val="7"/>
    <w:next w:val="12"/>
    <w:qFormat/>
    <w:uiPriority w:val="99"/>
    <w:pPr>
      <w:spacing w:after="0"/>
      <w:ind w:left="0" w:leftChars="0" w:firstLine="420" w:firstLineChars="200"/>
    </w:pPr>
    <w:rPr>
      <w:sz w:val="28"/>
    </w:rPr>
  </w:style>
  <w:style w:type="character" w:customStyle="1" w:styleId="16">
    <w:name w:val="NormalCharacter"/>
    <w:qFormat/>
    <w:uiPriority w:val="0"/>
    <w:rPr>
      <w:rFonts w:ascii="Calibri" w:hAnsi="Calibri" w:eastAsia="宋体" w:cs="Times New Roman"/>
      <w:kern w:val="2"/>
      <w:sz w:val="21"/>
      <w:szCs w:val="22"/>
      <w:lang w:val="en-US" w:eastAsia="zh-CN" w:bidi="ar-SA"/>
    </w:rPr>
  </w:style>
  <w:style w:type="paragraph" w:customStyle="1" w:styleId="17">
    <w:name w:val="！正文"/>
    <w:basedOn w:val="1"/>
    <w:qFormat/>
    <w:uiPriority w:val="0"/>
    <w:rPr>
      <w:sz w:val="24"/>
    </w:rPr>
  </w:style>
  <w:style w:type="character" w:customStyle="1" w:styleId="18">
    <w:name w:val="页眉 字符"/>
    <w:basedOn w:val="15"/>
    <w:link w:val="9"/>
    <w:qFormat/>
    <w:uiPriority w:val="0"/>
    <w:rPr>
      <w:rFonts w:ascii="Calibri" w:hAnsi="Calibri"/>
      <w:kern w:val="2"/>
      <w:sz w:val="18"/>
      <w:szCs w:val="18"/>
    </w:rPr>
  </w:style>
  <w:style w:type="character" w:customStyle="1" w:styleId="19">
    <w:name w:val="页脚 字符"/>
    <w:basedOn w:val="15"/>
    <w:link w:val="8"/>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8229</Words>
  <Characters>9831</Characters>
  <Lines>73</Lines>
  <Paragraphs>20</Paragraphs>
  <TotalTime>33</TotalTime>
  <ScaleCrop>false</ScaleCrop>
  <LinksUpToDate>false</LinksUpToDate>
  <CharactersWithSpaces>9984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2021-05-20T06:08:00Z</dcterms:created>
  <dc:creator>z</dc:creator>
  <cp:lastModifiedBy>早韦二水</cp:lastModifiedBy>
  <dcterms:modified xsi:type="dcterms:W3CDTF">2025-12-16T02:51:34Z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04D1C3BCAA6D450FAE7B3B05C02F345D_13</vt:lpwstr>
  </property>
  <property fmtid="{D5CDD505-2E9C-101B-9397-08002B2CF9AE}" pid="4" name="KSOTemplateDocerSaveRecord">
    <vt:lpwstr>eyJoZGlkIjoiYzgxNTIxNWZhNGE5YzI4ZmQ4NDI1Y2MyMzJlZGEzZTMiLCJ1c2VySWQiOiIxMTgxMjUyNSJ9</vt:lpwstr>
  </property>
</Properties>
</file>